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3BFD0" w14:textId="39618ED6" w:rsidR="00592C9E" w:rsidRDefault="00592C9E" w:rsidP="00592C9E">
      <w:pPr>
        <w:jc w:val="center"/>
        <w:rPr>
          <w:rFonts w:ascii="Arial" w:hAnsi="Arial" w:cs="Arial"/>
          <w:b/>
        </w:rPr>
      </w:pPr>
      <w:r>
        <w:rPr>
          <w:rFonts w:ascii="Arial" w:hAnsi="Arial" w:cs="Arial"/>
          <w:b/>
        </w:rPr>
        <w:t xml:space="preserve">Uzasadnienie </w:t>
      </w:r>
    </w:p>
    <w:p w14:paraId="2BF00856" w14:textId="493A3DAD" w:rsidR="00592C9E" w:rsidRPr="003B5785" w:rsidRDefault="00592C9E" w:rsidP="00592C9E">
      <w:pPr>
        <w:jc w:val="center"/>
        <w:rPr>
          <w:rFonts w:ascii="Arial" w:hAnsi="Arial" w:cs="Arial"/>
          <w:b/>
        </w:rPr>
      </w:pPr>
      <w:r w:rsidRPr="00592C9E">
        <w:rPr>
          <w:rFonts w:ascii="Arial" w:hAnsi="Arial" w:cs="Arial"/>
          <w:b/>
        </w:rPr>
        <w:t>projektu uchwały Sejmiku Województwa Lubelskiego w sprawie</w:t>
      </w:r>
      <w:r>
        <w:rPr>
          <w:rFonts w:ascii="Arial" w:hAnsi="Arial" w:cs="Arial"/>
          <w:b/>
        </w:rPr>
        <w:t xml:space="preserve"> </w:t>
      </w:r>
      <w:r w:rsidRPr="003B5785">
        <w:rPr>
          <w:rFonts w:ascii="Arial" w:hAnsi="Arial" w:cs="Arial"/>
          <w:b/>
        </w:rPr>
        <w:t>wprowadzenia na obszarze województwa lubelskiego ograniczeń i zakazów w zakresie eksploatacji instalacji, w których następuje spalanie paliw</w:t>
      </w:r>
    </w:p>
    <w:p w14:paraId="0D784261" w14:textId="77777777" w:rsidR="00B852B9" w:rsidRDefault="00B852B9" w:rsidP="003F67C9">
      <w:pPr>
        <w:spacing w:after="0" w:line="240" w:lineRule="auto"/>
        <w:jc w:val="right"/>
        <w:rPr>
          <w:rFonts w:ascii="Arial" w:hAnsi="Arial" w:cs="Arial"/>
          <w:color w:val="000000" w:themeColor="text1"/>
        </w:rPr>
      </w:pPr>
    </w:p>
    <w:p w14:paraId="4309DD9D" w14:textId="224B854A" w:rsidR="003F67C9" w:rsidRPr="008C5B1E" w:rsidRDefault="005E5F67" w:rsidP="003F67C9">
      <w:pPr>
        <w:tabs>
          <w:tab w:val="left" w:pos="709"/>
        </w:tabs>
        <w:spacing w:after="0"/>
        <w:ind w:left="-60" w:right="-2"/>
        <w:jc w:val="both"/>
        <w:rPr>
          <w:rFonts w:ascii="Arial" w:hAnsi="Arial" w:cs="Arial"/>
          <w:color w:val="000000" w:themeColor="text1"/>
        </w:rPr>
      </w:pPr>
      <w:r w:rsidRPr="008C5B1E">
        <w:rPr>
          <w:rFonts w:ascii="Arial" w:hAnsi="Arial" w:cs="Arial"/>
          <w:color w:val="000000" w:themeColor="text1"/>
        </w:rPr>
        <w:tab/>
      </w:r>
      <w:r w:rsidR="00015350" w:rsidRPr="008C5B1E">
        <w:rPr>
          <w:rFonts w:ascii="Arial" w:hAnsi="Arial" w:cs="Arial"/>
          <w:color w:val="000000" w:themeColor="text1"/>
        </w:rPr>
        <w:t>Mając na uwadze konieczność zapobieżenia negatywnemu oddziaływaniu na zdrowie ludzi i środowisko oraz kierując się zasadą interesu publicznego</w:t>
      </w:r>
      <w:r w:rsidR="005A3D97" w:rsidRPr="008C5B1E">
        <w:rPr>
          <w:rFonts w:ascii="Arial" w:hAnsi="Arial" w:cs="Arial"/>
          <w:color w:val="000000" w:themeColor="text1"/>
        </w:rPr>
        <w:t>, Sejmik Województwa Lubelskiego</w:t>
      </w:r>
      <w:r w:rsidR="00015350" w:rsidRPr="008C5B1E">
        <w:rPr>
          <w:rFonts w:ascii="Arial" w:hAnsi="Arial" w:cs="Arial"/>
          <w:color w:val="000000" w:themeColor="text1"/>
        </w:rPr>
        <w:t xml:space="preserve"> </w:t>
      </w:r>
      <w:r w:rsidR="003F67C9" w:rsidRPr="008C5B1E">
        <w:rPr>
          <w:rFonts w:ascii="Arial" w:hAnsi="Arial" w:cs="Arial"/>
          <w:color w:val="000000" w:themeColor="text1"/>
        </w:rPr>
        <w:t xml:space="preserve">wprowadza ograniczenia i zakazy w zakresie eksploatacji instalacji, w których następuje spalanie paliw. </w:t>
      </w:r>
    </w:p>
    <w:p w14:paraId="6FD9CEB5" w14:textId="442CB035" w:rsidR="00015350" w:rsidRPr="008C5B1E" w:rsidRDefault="003F67C9" w:rsidP="003F67C9">
      <w:pPr>
        <w:tabs>
          <w:tab w:val="left" w:pos="709"/>
        </w:tabs>
        <w:spacing w:after="0"/>
        <w:ind w:left="-60" w:right="-2"/>
        <w:jc w:val="both"/>
        <w:rPr>
          <w:rFonts w:ascii="Arial" w:hAnsi="Arial" w:cs="Arial"/>
          <w:color w:val="000000"/>
        </w:rPr>
      </w:pPr>
      <w:r w:rsidRPr="008C5B1E">
        <w:rPr>
          <w:rFonts w:ascii="Arial" w:hAnsi="Arial" w:cs="Arial"/>
          <w:color w:val="000000" w:themeColor="text1"/>
        </w:rPr>
        <w:t>Możliwość taką przewiduje art. 96 ustawy</w:t>
      </w:r>
      <w:r w:rsidRPr="008C5B1E">
        <w:rPr>
          <w:rFonts w:ascii="Arial" w:hAnsi="Arial" w:cs="Arial"/>
          <w:color w:val="000000"/>
        </w:rPr>
        <w:t xml:space="preserve"> z dnia 27 kwietnia 2001 r. – Prawo ochrony środowiska (Dz. U. z 2020 r. poz. 1219</w:t>
      </w:r>
      <w:r w:rsidR="00997E73">
        <w:rPr>
          <w:rFonts w:ascii="Arial" w:hAnsi="Arial" w:cs="Arial"/>
          <w:color w:val="000000"/>
        </w:rPr>
        <w:t xml:space="preserve"> ze zm.</w:t>
      </w:r>
      <w:r w:rsidRPr="008C5B1E">
        <w:rPr>
          <w:rFonts w:ascii="Arial" w:hAnsi="Arial" w:cs="Arial"/>
          <w:color w:val="000000"/>
        </w:rPr>
        <w:t>)</w:t>
      </w:r>
      <w:r w:rsidR="009E2924" w:rsidRPr="008C5B1E">
        <w:rPr>
          <w:rFonts w:ascii="Arial" w:hAnsi="Arial" w:cs="Arial"/>
          <w:color w:val="000000"/>
        </w:rPr>
        <w:t xml:space="preserve"> zwanej dalej POŚ.</w:t>
      </w:r>
    </w:p>
    <w:p w14:paraId="5DA9F209" w14:textId="4CBE81A0" w:rsidR="0000400D" w:rsidRDefault="005E5F67" w:rsidP="006F0CDD">
      <w:pPr>
        <w:tabs>
          <w:tab w:val="left" w:pos="709"/>
        </w:tabs>
        <w:spacing w:after="0"/>
        <w:ind w:left="-60" w:right="-2"/>
        <w:jc w:val="both"/>
        <w:rPr>
          <w:rFonts w:ascii="Arial" w:hAnsi="Arial" w:cs="Arial"/>
        </w:rPr>
      </w:pPr>
      <w:r>
        <w:tab/>
      </w:r>
      <w:r w:rsidR="0000400D" w:rsidRPr="008C5B1E">
        <w:rPr>
          <w:rFonts w:ascii="Arial" w:hAnsi="Arial" w:cs="Arial"/>
        </w:rPr>
        <w:t>Ponadto ze względu na ochronę zdrowia ustawa P</w:t>
      </w:r>
      <w:r w:rsidR="009E2924" w:rsidRPr="008C5B1E">
        <w:rPr>
          <w:rFonts w:ascii="Arial" w:hAnsi="Arial" w:cs="Arial"/>
        </w:rPr>
        <w:t>OŚ</w:t>
      </w:r>
      <w:r w:rsidR="0000400D" w:rsidRPr="008C5B1E">
        <w:rPr>
          <w:rFonts w:ascii="Arial" w:hAnsi="Arial" w:cs="Arial"/>
        </w:rPr>
        <w:t xml:space="preserve"> i rozporządzenia wykonawcze do ustawy, implementujące do prawa polskiego normy i przepisy  dyrektywy Parlamentu</w:t>
      </w:r>
      <w:r w:rsidR="0000400D" w:rsidRPr="0000400D">
        <w:rPr>
          <w:rFonts w:ascii="Arial" w:hAnsi="Arial" w:cs="Arial"/>
        </w:rPr>
        <w:t xml:space="preserve"> Europejskiego i Rady 2008/50/WE z dnia 21 maja 2008</w:t>
      </w:r>
      <w:r w:rsidR="0000400D">
        <w:rPr>
          <w:rFonts w:ascii="Arial" w:hAnsi="Arial" w:cs="Arial"/>
        </w:rPr>
        <w:t xml:space="preserve"> </w:t>
      </w:r>
      <w:r w:rsidR="0000400D" w:rsidRPr="0000400D">
        <w:rPr>
          <w:rFonts w:ascii="Arial" w:hAnsi="Arial" w:cs="Arial"/>
        </w:rPr>
        <w:t>r. w sprawie jakości powietrza i</w:t>
      </w:r>
      <w:r w:rsidR="00997E73">
        <w:rPr>
          <w:rFonts w:ascii="Arial" w:hAnsi="Arial" w:cs="Arial"/>
        </w:rPr>
        <w:t> </w:t>
      </w:r>
      <w:r w:rsidR="0000400D" w:rsidRPr="0000400D">
        <w:rPr>
          <w:rFonts w:ascii="Arial" w:hAnsi="Arial" w:cs="Arial"/>
        </w:rPr>
        <w:t>czystszego powietrza dla Europy</w:t>
      </w:r>
      <w:r w:rsidR="0000400D">
        <w:rPr>
          <w:rFonts w:ascii="Arial" w:hAnsi="Arial" w:cs="Arial"/>
        </w:rPr>
        <w:t xml:space="preserve"> </w:t>
      </w:r>
      <w:r w:rsidR="0000400D" w:rsidRPr="0000400D">
        <w:rPr>
          <w:rFonts w:ascii="Arial" w:hAnsi="Arial" w:cs="Arial"/>
        </w:rPr>
        <w:t>(tzw. dyrektywą CAFE)</w:t>
      </w:r>
      <w:r w:rsidR="0000400D">
        <w:rPr>
          <w:rFonts w:ascii="Arial" w:hAnsi="Arial" w:cs="Arial"/>
        </w:rPr>
        <w:t xml:space="preserve">, określają dopuszczalne parametry jakości powietrza i terminy ich osiągnięcia. Zgodnie z ww. dyrektywą </w:t>
      </w:r>
      <w:r w:rsidR="0000400D" w:rsidRPr="0000400D">
        <w:rPr>
          <w:rFonts w:ascii="Arial" w:hAnsi="Arial" w:cs="Arial"/>
        </w:rPr>
        <w:t xml:space="preserve"> państwa członkowskie powinny zapewnić, aby poziomy dopuszczalne pyłu PM10 (poziom średnioroczny 40 </w:t>
      </w:r>
      <w:proofErr w:type="spellStart"/>
      <w:r w:rsidR="0000400D" w:rsidRPr="0000400D">
        <w:rPr>
          <w:rFonts w:ascii="Arial" w:hAnsi="Arial" w:cs="Arial"/>
        </w:rPr>
        <w:t>μg</w:t>
      </w:r>
      <w:proofErr w:type="spellEnd"/>
      <w:r w:rsidR="0000400D" w:rsidRPr="0000400D">
        <w:rPr>
          <w:rFonts w:ascii="Arial" w:hAnsi="Arial" w:cs="Arial"/>
        </w:rPr>
        <w:t>/m</w:t>
      </w:r>
      <w:r w:rsidR="009E2924">
        <w:rPr>
          <w:rFonts w:ascii="Arial" w:hAnsi="Arial" w:cs="Arial"/>
          <w:vertAlign w:val="superscript"/>
        </w:rPr>
        <w:t>3</w:t>
      </w:r>
      <w:r w:rsidR="0000400D" w:rsidRPr="0000400D">
        <w:rPr>
          <w:rFonts w:ascii="Arial" w:hAnsi="Arial" w:cs="Arial"/>
        </w:rPr>
        <w:t>, i</w:t>
      </w:r>
      <w:r w:rsidR="00997E73">
        <w:rPr>
          <w:rFonts w:ascii="Arial" w:hAnsi="Arial" w:cs="Arial"/>
        </w:rPr>
        <w:t> </w:t>
      </w:r>
      <w:r w:rsidR="0000400D" w:rsidRPr="0000400D">
        <w:rPr>
          <w:rFonts w:ascii="Arial" w:hAnsi="Arial" w:cs="Arial"/>
        </w:rPr>
        <w:t>nie więcej niż 35 dni w ciągu roku z przekroczeniem poziomu 24-godzinnego 50</w:t>
      </w:r>
      <w:r w:rsidR="009E2924">
        <w:rPr>
          <w:rFonts w:ascii="Arial" w:hAnsi="Arial" w:cs="Arial"/>
        </w:rPr>
        <w:t xml:space="preserve"> </w:t>
      </w:r>
      <w:proofErr w:type="spellStart"/>
      <w:r w:rsidR="0000400D" w:rsidRPr="0000400D">
        <w:rPr>
          <w:rFonts w:ascii="Arial" w:hAnsi="Arial" w:cs="Arial"/>
        </w:rPr>
        <w:t>μg</w:t>
      </w:r>
      <w:proofErr w:type="spellEnd"/>
      <w:r w:rsidR="0000400D" w:rsidRPr="0000400D">
        <w:rPr>
          <w:rFonts w:ascii="Arial" w:hAnsi="Arial" w:cs="Arial"/>
        </w:rPr>
        <w:t>/m³) były osiągnięte od 2005</w:t>
      </w:r>
      <w:r w:rsidR="009E2924">
        <w:rPr>
          <w:rFonts w:ascii="Arial" w:hAnsi="Arial" w:cs="Arial"/>
        </w:rPr>
        <w:t xml:space="preserve"> </w:t>
      </w:r>
      <w:r w:rsidR="0000400D" w:rsidRPr="0000400D">
        <w:rPr>
          <w:rFonts w:ascii="Arial" w:hAnsi="Arial" w:cs="Arial"/>
        </w:rPr>
        <w:t>r. Poziom średnioroczny pyłu PM2,5 -</w:t>
      </w:r>
      <w:r w:rsidR="009E2924">
        <w:rPr>
          <w:rFonts w:ascii="Arial" w:hAnsi="Arial" w:cs="Arial"/>
        </w:rPr>
        <w:t xml:space="preserve"> </w:t>
      </w:r>
      <w:r w:rsidR="0000400D" w:rsidRPr="0000400D">
        <w:rPr>
          <w:rFonts w:ascii="Arial" w:hAnsi="Arial" w:cs="Arial"/>
        </w:rPr>
        <w:t xml:space="preserve">25 </w:t>
      </w:r>
      <w:proofErr w:type="spellStart"/>
      <w:r w:rsidR="0000400D" w:rsidRPr="0000400D">
        <w:rPr>
          <w:rFonts w:ascii="Arial" w:hAnsi="Arial" w:cs="Arial"/>
        </w:rPr>
        <w:t>μg</w:t>
      </w:r>
      <w:proofErr w:type="spellEnd"/>
      <w:r w:rsidR="0000400D" w:rsidRPr="0000400D">
        <w:rPr>
          <w:rFonts w:ascii="Arial" w:hAnsi="Arial" w:cs="Arial"/>
        </w:rPr>
        <w:t>/m</w:t>
      </w:r>
      <w:r w:rsidR="009E2924">
        <w:rPr>
          <w:rFonts w:ascii="Arial" w:hAnsi="Arial" w:cs="Arial"/>
          <w:vertAlign w:val="superscript"/>
        </w:rPr>
        <w:t>3</w:t>
      </w:r>
      <w:r w:rsidR="009E2924">
        <w:rPr>
          <w:rFonts w:ascii="Arial" w:hAnsi="Arial" w:cs="Arial"/>
        </w:rPr>
        <w:t xml:space="preserve"> </w:t>
      </w:r>
      <w:r w:rsidR="0000400D" w:rsidRPr="0000400D">
        <w:rPr>
          <w:rFonts w:ascii="Arial" w:hAnsi="Arial" w:cs="Arial"/>
        </w:rPr>
        <w:t>powinien być osiągnięty od 2015</w:t>
      </w:r>
      <w:r w:rsidR="009E2924">
        <w:rPr>
          <w:rFonts w:ascii="Arial" w:hAnsi="Arial" w:cs="Arial"/>
        </w:rPr>
        <w:t xml:space="preserve"> </w:t>
      </w:r>
      <w:r w:rsidR="0000400D" w:rsidRPr="0000400D">
        <w:rPr>
          <w:rFonts w:ascii="Arial" w:hAnsi="Arial" w:cs="Arial"/>
        </w:rPr>
        <w:t xml:space="preserve">r., a bardziej restrykcyjna norma 20 </w:t>
      </w:r>
      <w:proofErr w:type="spellStart"/>
      <w:r w:rsidR="0000400D" w:rsidRPr="0000400D">
        <w:rPr>
          <w:rFonts w:ascii="Arial" w:hAnsi="Arial" w:cs="Arial"/>
        </w:rPr>
        <w:t>μg</w:t>
      </w:r>
      <w:proofErr w:type="spellEnd"/>
      <w:r w:rsidR="0000400D" w:rsidRPr="0000400D">
        <w:rPr>
          <w:rFonts w:ascii="Arial" w:hAnsi="Arial" w:cs="Arial"/>
        </w:rPr>
        <w:t>/m</w:t>
      </w:r>
      <w:r w:rsidR="009E2924">
        <w:rPr>
          <w:rFonts w:ascii="Arial" w:hAnsi="Arial" w:cs="Arial"/>
          <w:vertAlign w:val="superscript"/>
        </w:rPr>
        <w:t>3</w:t>
      </w:r>
      <w:r w:rsidR="009E2924">
        <w:rPr>
          <w:rFonts w:ascii="Arial" w:hAnsi="Arial" w:cs="Arial"/>
        </w:rPr>
        <w:t xml:space="preserve"> </w:t>
      </w:r>
      <w:r w:rsidR="0000400D" w:rsidRPr="0000400D">
        <w:rPr>
          <w:rFonts w:ascii="Arial" w:hAnsi="Arial" w:cs="Arial"/>
        </w:rPr>
        <w:t>od 2020</w:t>
      </w:r>
      <w:r>
        <w:rPr>
          <w:rFonts w:ascii="Arial" w:hAnsi="Arial" w:cs="Arial"/>
        </w:rPr>
        <w:t xml:space="preserve"> </w:t>
      </w:r>
      <w:r w:rsidR="0000400D" w:rsidRPr="0000400D">
        <w:rPr>
          <w:rFonts w:ascii="Arial" w:hAnsi="Arial" w:cs="Arial"/>
        </w:rPr>
        <w:t>r. Ponadto zgodnie z Dyrektywą 2004/107/WE Parlamentu Europejskiego i Rady z dnia 15 grudnia 2004</w:t>
      </w:r>
      <w:r>
        <w:rPr>
          <w:rFonts w:ascii="Arial" w:hAnsi="Arial" w:cs="Arial"/>
        </w:rPr>
        <w:t xml:space="preserve"> </w:t>
      </w:r>
      <w:r w:rsidR="0000400D" w:rsidRPr="0000400D">
        <w:rPr>
          <w:rFonts w:ascii="Arial" w:hAnsi="Arial" w:cs="Arial"/>
        </w:rPr>
        <w:t>r. w sprawie arsenu, kadmu, rtęci, niklu i wielopierścieniowych węglowodorów aromatycznych w otaczającym powietrzu</w:t>
      </w:r>
      <w:r w:rsidR="009E2924">
        <w:rPr>
          <w:rFonts w:ascii="Arial" w:hAnsi="Arial" w:cs="Arial"/>
        </w:rPr>
        <w:t xml:space="preserve"> </w:t>
      </w:r>
      <w:r w:rsidR="0000400D" w:rsidRPr="0000400D">
        <w:rPr>
          <w:rFonts w:ascii="Arial" w:hAnsi="Arial" w:cs="Arial"/>
        </w:rPr>
        <w:t xml:space="preserve">poziom docelowy stężenia średniorocznego </w:t>
      </w:r>
      <w:proofErr w:type="spellStart"/>
      <w:r w:rsidR="0000400D" w:rsidRPr="0000400D">
        <w:rPr>
          <w:rFonts w:ascii="Arial" w:hAnsi="Arial" w:cs="Arial"/>
        </w:rPr>
        <w:t>benzo</w:t>
      </w:r>
      <w:proofErr w:type="spellEnd"/>
      <w:r w:rsidR="0000400D" w:rsidRPr="0000400D">
        <w:rPr>
          <w:rFonts w:ascii="Arial" w:hAnsi="Arial" w:cs="Arial"/>
        </w:rPr>
        <w:t>(a)</w:t>
      </w:r>
      <w:proofErr w:type="spellStart"/>
      <w:r w:rsidR="0000400D" w:rsidRPr="0000400D">
        <w:rPr>
          <w:rFonts w:ascii="Arial" w:hAnsi="Arial" w:cs="Arial"/>
        </w:rPr>
        <w:t>pirenu</w:t>
      </w:r>
      <w:proofErr w:type="spellEnd"/>
      <w:r w:rsidR="0000400D" w:rsidRPr="0000400D">
        <w:rPr>
          <w:rFonts w:ascii="Arial" w:hAnsi="Arial" w:cs="Arial"/>
        </w:rPr>
        <w:t xml:space="preserve"> –1 </w:t>
      </w:r>
      <w:proofErr w:type="spellStart"/>
      <w:r w:rsidR="0000400D" w:rsidRPr="0000400D">
        <w:rPr>
          <w:rFonts w:ascii="Arial" w:hAnsi="Arial" w:cs="Arial"/>
        </w:rPr>
        <w:t>ng</w:t>
      </w:r>
      <w:proofErr w:type="spellEnd"/>
      <w:r w:rsidR="0000400D" w:rsidRPr="0000400D">
        <w:rPr>
          <w:rFonts w:ascii="Arial" w:hAnsi="Arial" w:cs="Arial"/>
        </w:rPr>
        <w:t>/m</w:t>
      </w:r>
      <w:r w:rsidR="009E2924">
        <w:rPr>
          <w:rFonts w:ascii="Arial" w:hAnsi="Arial" w:cs="Arial"/>
          <w:vertAlign w:val="superscript"/>
        </w:rPr>
        <w:t>3</w:t>
      </w:r>
      <w:r w:rsidR="009E2924">
        <w:rPr>
          <w:rFonts w:ascii="Arial" w:hAnsi="Arial" w:cs="Arial"/>
        </w:rPr>
        <w:t xml:space="preserve"> </w:t>
      </w:r>
      <w:r w:rsidR="0000400D" w:rsidRPr="0000400D">
        <w:rPr>
          <w:rFonts w:ascii="Arial" w:hAnsi="Arial" w:cs="Arial"/>
        </w:rPr>
        <w:t>powinien być osiągnięt</w:t>
      </w:r>
      <w:r w:rsidR="00B5053C">
        <w:rPr>
          <w:rFonts w:ascii="Arial" w:hAnsi="Arial" w:cs="Arial"/>
        </w:rPr>
        <w:t>y</w:t>
      </w:r>
      <w:r w:rsidR="0000400D" w:rsidRPr="0000400D">
        <w:rPr>
          <w:rFonts w:ascii="Arial" w:hAnsi="Arial" w:cs="Arial"/>
        </w:rPr>
        <w:t xml:space="preserve"> od 2013</w:t>
      </w:r>
      <w:r w:rsidR="009E2924">
        <w:rPr>
          <w:rFonts w:ascii="Arial" w:hAnsi="Arial" w:cs="Arial"/>
        </w:rPr>
        <w:t xml:space="preserve"> </w:t>
      </w:r>
      <w:r w:rsidR="0000400D" w:rsidRPr="0000400D">
        <w:rPr>
          <w:rFonts w:ascii="Arial" w:hAnsi="Arial" w:cs="Arial"/>
        </w:rPr>
        <w:t>r. Określone tymi dyrektywami poziomy oraz terminy ich osiągnięcia, transponuje do polskiego porządku prawnego rozporządzenie Ministra Środowiska z dnia 24 sierpnia 2012</w:t>
      </w:r>
      <w:r w:rsidR="009E2924">
        <w:rPr>
          <w:rFonts w:ascii="Arial" w:hAnsi="Arial" w:cs="Arial"/>
        </w:rPr>
        <w:t xml:space="preserve"> </w:t>
      </w:r>
      <w:r w:rsidR="0000400D" w:rsidRPr="0000400D">
        <w:rPr>
          <w:rFonts w:ascii="Arial" w:hAnsi="Arial" w:cs="Arial"/>
        </w:rPr>
        <w:t>r. w sprawie poziomów niektórych substancji w powietrzu</w:t>
      </w:r>
      <w:r w:rsidR="009E2924">
        <w:rPr>
          <w:rFonts w:ascii="Arial" w:hAnsi="Arial" w:cs="Arial"/>
        </w:rPr>
        <w:t xml:space="preserve"> </w:t>
      </w:r>
      <w:r w:rsidR="0000400D" w:rsidRPr="0000400D">
        <w:rPr>
          <w:rFonts w:ascii="Arial" w:hAnsi="Arial" w:cs="Arial"/>
        </w:rPr>
        <w:t>(Dz.U.</w:t>
      </w:r>
      <w:r>
        <w:rPr>
          <w:rFonts w:ascii="Arial" w:hAnsi="Arial" w:cs="Arial"/>
        </w:rPr>
        <w:t xml:space="preserve"> </w:t>
      </w:r>
      <w:r w:rsidR="0000400D" w:rsidRPr="0000400D">
        <w:rPr>
          <w:rFonts w:ascii="Arial" w:hAnsi="Arial" w:cs="Arial"/>
        </w:rPr>
        <w:t>z</w:t>
      </w:r>
      <w:r>
        <w:rPr>
          <w:rFonts w:ascii="Arial" w:hAnsi="Arial" w:cs="Arial"/>
        </w:rPr>
        <w:t xml:space="preserve"> </w:t>
      </w:r>
      <w:r w:rsidR="0000400D" w:rsidRPr="0000400D">
        <w:rPr>
          <w:rFonts w:ascii="Arial" w:hAnsi="Arial" w:cs="Arial"/>
        </w:rPr>
        <w:t>2012 r. poz. 1031</w:t>
      </w:r>
      <w:r w:rsidR="00997E73">
        <w:rPr>
          <w:rFonts w:ascii="Arial" w:hAnsi="Arial" w:cs="Arial"/>
        </w:rPr>
        <w:t xml:space="preserve"> ze zm.</w:t>
      </w:r>
      <w:r w:rsidR="0000400D" w:rsidRPr="0000400D">
        <w:rPr>
          <w:rFonts w:ascii="Arial" w:hAnsi="Arial" w:cs="Arial"/>
        </w:rPr>
        <w:t>).</w:t>
      </w:r>
    </w:p>
    <w:p w14:paraId="5B936302" w14:textId="404A2E5A" w:rsidR="00EF4583" w:rsidRDefault="00EF4583" w:rsidP="006F0CDD">
      <w:pPr>
        <w:tabs>
          <w:tab w:val="left" w:pos="709"/>
        </w:tabs>
        <w:spacing w:after="0"/>
        <w:ind w:left="-60" w:right="-2"/>
        <w:jc w:val="both"/>
        <w:rPr>
          <w:rFonts w:ascii="Arial" w:hAnsi="Arial" w:cs="Arial"/>
        </w:rPr>
      </w:pPr>
    </w:p>
    <w:p w14:paraId="10E32E26" w14:textId="02672394" w:rsidR="00251B3A" w:rsidRPr="007B4DB9" w:rsidRDefault="00EF4583" w:rsidP="007B4DB9">
      <w:pPr>
        <w:spacing w:after="0"/>
        <w:ind w:firstLine="708"/>
        <w:jc w:val="both"/>
        <w:rPr>
          <w:rFonts w:ascii="Arial" w:hAnsi="Arial" w:cs="Arial"/>
        </w:rPr>
      </w:pPr>
      <w:r w:rsidRPr="007B4DB9">
        <w:rPr>
          <w:rFonts w:ascii="Arial" w:hAnsi="Arial" w:cs="Arial"/>
        </w:rPr>
        <w:t xml:space="preserve">Monitoring i ocena jakości powietrza atmosferycznego w woj. </w:t>
      </w:r>
      <w:r w:rsidR="00251B3A" w:rsidRPr="007B4DB9">
        <w:rPr>
          <w:rFonts w:ascii="Arial" w:hAnsi="Arial" w:cs="Arial"/>
        </w:rPr>
        <w:t>l</w:t>
      </w:r>
      <w:r w:rsidRPr="007B4DB9">
        <w:rPr>
          <w:rFonts w:ascii="Arial" w:hAnsi="Arial" w:cs="Arial"/>
        </w:rPr>
        <w:t>ubelskim prowadzona była przez Wojewódzki Inspektorat Ochrony Środowiska w Lublinie (WIOŚ)</w:t>
      </w:r>
      <w:r w:rsidR="00737AE3" w:rsidRPr="007B4DB9">
        <w:rPr>
          <w:rFonts w:ascii="Arial" w:hAnsi="Arial" w:cs="Arial"/>
        </w:rPr>
        <w:t>,</w:t>
      </w:r>
      <w:r w:rsidRPr="007B4DB9">
        <w:rPr>
          <w:rFonts w:ascii="Arial" w:hAnsi="Arial" w:cs="Arial"/>
        </w:rPr>
        <w:t xml:space="preserve"> a od 1 stycznia 2019 r. przez Główny Inspektorat Ochrony Środowiska.</w:t>
      </w:r>
    </w:p>
    <w:p w14:paraId="1E6BEFFD" w14:textId="6AB7D291" w:rsidR="00EF4583" w:rsidRPr="007B4DB9" w:rsidRDefault="00EF4583" w:rsidP="007B4DB9">
      <w:pPr>
        <w:spacing w:after="0"/>
        <w:jc w:val="both"/>
        <w:rPr>
          <w:rFonts w:ascii="Arial" w:hAnsi="Arial" w:cs="Arial"/>
        </w:rPr>
      </w:pPr>
      <w:r w:rsidRPr="007B4DB9">
        <w:rPr>
          <w:rFonts w:ascii="Arial" w:hAnsi="Arial" w:cs="Arial"/>
        </w:rPr>
        <w:t>Oceny wykonywane</w:t>
      </w:r>
      <w:r w:rsidR="00434B6C">
        <w:rPr>
          <w:rFonts w:ascii="Arial" w:hAnsi="Arial" w:cs="Arial"/>
        </w:rPr>
        <w:t xml:space="preserve"> są</w:t>
      </w:r>
      <w:r w:rsidRPr="007B4DB9">
        <w:rPr>
          <w:rFonts w:ascii="Arial" w:hAnsi="Arial" w:cs="Arial"/>
        </w:rPr>
        <w:t xml:space="preserve"> dla dwóch stref: Aglomeracja Lubelska i </w:t>
      </w:r>
      <w:r w:rsidR="00434B6C">
        <w:rPr>
          <w:rFonts w:ascii="Arial" w:hAnsi="Arial" w:cs="Arial"/>
        </w:rPr>
        <w:t xml:space="preserve">strefa </w:t>
      </w:r>
      <w:r w:rsidRPr="007B4DB9">
        <w:rPr>
          <w:rFonts w:ascii="Arial" w:hAnsi="Arial" w:cs="Arial"/>
        </w:rPr>
        <w:t>lubelska wyznaczonych na podstawie rozporządzenia Ministra Środowiska z dnia 2 sierpnia 2012 r</w:t>
      </w:r>
      <w:r w:rsidR="00737AE3" w:rsidRPr="007B4DB9">
        <w:rPr>
          <w:rFonts w:ascii="Arial" w:hAnsi="Arial" w:cs="Arial"/>
        </w:rPr>
        <w:t>.</w:t>
      </w:r>
      <w:r w:rsidRPr="007B4DB9">
        <w:rPr>
          <w:rFonts w:ascii="Arial" w:hAnsi="Arial" w:cs="Arial"/>
        </w:rPr>
        <w:t xml:space="preserve"> w sprawie stref, w</w:t>
      </w:r>
      <w:r w:rsidR="00997E73">
        <w:rPr>
          <w:rFonts w:ascii="Arial" w:hAnsi="Arial" w:cs="Arial"/>
        </w:rPr>
        <w:t> </w:t>
      </w:r>
      <w:r w:rsidRPr="007B4DB9">
        <w:rPr>
          <w:rFonts w:ascii="Arial" w:hAnsi="Arial" w:cs="Arial"/>
        </w:rPr>
        <w:t>których dokonuje się oceny powietrza (Dz. U. z 2012 poz. 914</w:t>
      </w:r>
      <w:r w:rsidR="00997E73">
        <w:rPr>
          <w:rFonts w:ascii="Arial" w:hAnsi="Arial" w:cs="Arial"/>
        </w:rPr>
        <w:t xml:space="preserve"> ze zm.</w:t>
      </w:r>
      <w:r w:rsidRPr="007B4DB9">
        <w:rPr>
          <w:rFonts w:ascii="Arial" w:hAnsi="Arial" w:cs="Arial"/>
        </w:rPr>
        <w:t>)</w:t>
      </w:r>
      <w:r w:rsidR="008D651D">
        <w:rPr>
          <w:rFonts w:ascii="Arial" w:hAnsi="Arial" w:cs="Arial"/>
        </w:rPr>
        <w:t xml:space="preserve">. </w:t>
      </w:r>
      <w:r w:rsidRPr="007B4DB9">
        <w:rPr>
          <w:rFonts w:ascii="Arial" w:hAnsi="Arial" w:cs="Arial"/>
        </w:rPr>
        <w:t>W</w:t>
      </w:r>
      <w:r w:rsidR="008D651D">
        <w:rPr>
          <w:rFonts w:ascii="Arial" w:hAnsi="Arial" w:cs="Arial"/>
        </w:rPr>
        <w:t>y</w:t>
      </w:r>
      <w:r w:rsidRPr="007B4DB9">
        <w:rPr>
          <w:rFonts w:ascii="Arial" w:hAnsi="Arial" w:cs="Arial"/>
        </w:rPr>
        <w:t xml:space="preserve">kazują </w:t>
      </w:r>
      <w:r w:rsidR="00997E73">
        <w:rPr>
          <w:rFonts w:ascii="Arial" w:hAnsi="Arial" w:cs="Arial"/>
        </w:rPr>
        <w:t xml:space="preserve">one zły </w:t>
      </w:r>
      <w:r w:rsidRPr="007B4DB9">
        <w:rPr>
          <w:rFonts w:ascii="Arial" w:hAnsi="Arial" w:cs="Arial"/>
        </w:rPr>
        <w:t>stan jakości</w:t>
      </w:r>
      <w:r w:rsidR="00B053E1" w:rsidRPr="007B4DB9">
        <w:rPr>
          <w:rFonts w:ascii="Arial" w:hAnsi="Arial" w:cs="Arial"/>
        </w:rPr>
        <w:t xml:space="preserve"> </w:t>
      </w:r>
      <w:r w:rsidRPr="007B4DB9">
        <w:rPr>
          <w:rFonts w:ascii="Arial" w:hAnsi="Arial" w:cs="Arial"/>
        </w:rPr>
        <w:t xml:space="preserve">powietrza w województwie ze względu na występujące od wielu lat </w:t>
      </w:r>
      <w:r w:rsidR="00B053E1" w:rsidRPr="007B4DB9">
        <w:rPr>
          <w:rFonts w:ascii="Arial" w:hAnsi="Arial" w:cs="Arial"/>
        </w:rPr>
        <w:t>p</w:t>
      </w:r>
      <w:r w:rsidRPr="007B4DB9">
        <w:rPr>
          <w:rFonts w:ascii="Arial" w:hAnsi="Arial" w:cs="Arial"/>
        </w:rPr>
        <w:t xml:space="preserve">rzekroczenia poziomów dopuszczalnych pyłu zawieszonego PM10 i pyłu </w:t>
      </w:r>
      <w:r w:rsidR="00B053E1" w:rsidRPr="007B4DB9">
        <w:rPr>
          <w:rFonts w:ascii="Arial" w:hAnsi="Arial" w:cs="Arial"/>
        </w:rPr>
        <w:t>zawieszonego</w:t>
      </w:r>
      <w:r w:rsidRPr="007B4DB9">
        <w:rPr>
          <w:rFonts w:ascii="Arial" w:hAnsi="Arial" w:cs="Arial"/>
        </w:rPr>
        <w:t xml:space="preserve"> PM2,5 oraz </w:t>
      </w:r>
      <w:r w:rsidR="00752F6E">
        <w:rPr>
          <w:rFonts w:ascii="Arial" w:hAnsi="Arial" w:cs="Arial"/>
        </w:rPr>
        <w:t xml:space="preserve">przekraczanie </w:t>
      </w:r>
      <w:r w:rsidRPr="007B4DB9">
        <w:rPr>
          <w:rFonts w:ascii="Arial" w:hAnsi="Arial" w:cs="Arial"/>
        </w:rPr>
        <w:t xml:space="preserve">poziomu docelowego </w:t>
      </w:r>
      <w:proofErr w:type="spellStart"/>
      <w:r w:rsidRPr="007B4DB9">
        <w:rPr>
          <w:rFonts w:ascii="Arial" w:hAnsi="Arial" w:cs="Arial"/>
        </w:rPr>
        <w:t>benzo</w:t>
      </w:r>
      <w:proofErr w:type="spellEnd"/>
      <w:r w:rsidRPr="007B4DB9">
        <w:rPr>
          <w:rFonts w:ascii="Arial" w:hAnsi="Arial" w:cs="Arial"/>
        </w:rPr>
        <w:t>(a)</w:t>
      </w:r>
      <w:proofErr w:type="spellStart"/>
      <w:r w:rsidRPr="007B4DB9">
        <w:rPr>
          <w:rFonts w:ascii="Arial" w:hAnsi="Arial" w:cs="Arial"/>
        </w:rPr>
        <w:t>pirenu</w:t>
      </w:r>
      <w:proofErr w:type="spellEnd"/>
      <w:r w:rsidRPr="007B4DB9">
        <w:rPr>
          <w:rFonts w:ascii="Arial" w:hAnsi="Arial" w:cs="Arial"/>
        </w:rPr>
        <w:t>.</w:t>
      </w:r>
    </w:p>
    <w:p w14:paraId="0BC5EE1E" w14:textId="4CE76E22" w:rsidR="006F0CDD" w:rsidRPr="007B4DB9" w:rsidRDefault="00DF744A" w:rsidP="007B4DB9">
      <w:pPr>
        <w:pStyle w:val="Akapitzlist"/>
        <w:numPr>
          <w:ilvl w:val="0"/>
          <w:numId w:val="16"/>
        </w:numPr>
        <w:jc w:val="both"/>
        <w:rPr>
          <w:rFonts w:cs="Arial"/>
        </w:rPr>
      </w:pPr>
      <w:r w:rsidRPr="007B4DB9">
        <w:rPr>
          <w:rFonts w:cs="Arial"/>
        </w:rPr>
        <w:t>Przekroczenia</w:t>
      </w:r>
      <w:r w:rsidR="00AE2ADC" w:rsidRPr="007B4DB9">
        <w:rPr>
          <w:rFonts w:cs="Arial"/>
        </w:rPr>
        <w:t xml:space="preserve"> poziomu dopuszczalnego pyłu zawieszonego PM10</w:t>
      </w:r>
      <w:r w:rsidR="00752F6E">
        <w:rPr>
          <w:rFonts w:cs="Arial"/>
        </w:rPr>
        <w:t>.</w:t>
      </w:r>
    </w:p>
    <w:p w14:paraId="1257D790" w14:textId="749D60D0" w:rsidR="00AE2ADC" w:rsidRPr="007B4DB9" w:rsidRDefault="00AE2ADC" w:rsidP="007B4DB9">
      <w:pPr>
        <w:spacing w:after="0"/>
        <w:jc w:val="both"/>
        <w:rPr>
          <w:rFonts w:ascii="Arial" w:hAnsi="Arial" w:cs="Arial"/>
        </w:rPr>
      </w:pPr>
      <w:r w:rsidRPr="007B4DB9">
        <w:rPr>
          <w:rFonts w:ascii="Arial" w:hAnsi="Arial" w:cs="Arial"/>
        </w:rPr>
        <w:t xml:space="preserve">Przekroczenia dobowego  poziomu </w:t>
      </w:r>
      <w:r w:rsidR="00DF744A" w:rsidRPr="007B4DB9">
        <w:rPr>
          <w:rFonts w:ascii="Arial" w:hAnsi="Arial" w:cs="Arial"/>
        </w:rPr>
        <w:t>dopuszczalnego</w:t>
      </w:r>
      <w:r w:rsidRPr="007B4DB9">
        <w:rPr>
          <w:rFonts w:ascii="Arial" w:hAnsi="Arial" w:cs="Arial"/>
        </w:rPr>
        <w:t xml:space="preserve"> pyłu zawieszonego PM10 występ</w:t>
      </w:r>
      <w:r w:rsidR="00DF744A" w:rsidRPr="007B4DB9">
        <w:rPr>
          <w:rFonts w:ascii="Arial" w:hAnsi="Arial" w:cs="Arial"/>
        </w:rPr>
        <w:t>owały</w:t>
      </w:r>
      <w:r w:rsidRPr="007B4DB9">
        <w:rPr>
          <w:rFonts w:ascii="Arial" w:hAnsi="Arial" w:cs="Arial"/>
        </w:rPr>
        <w:t xml:space="preserve"> </w:t>
      </w:r>
      <w:r w:rsidR="00DF744A" w:rsidRPr="007B4DB9">
        <w:rPr>
          <w:rFonts w:ascii="Arial" w:hAnsi="Arial" w:cs="Arial"/>
        </w:rPr>
        <w:t xml:space="preserve">w latach </w:t>
      </w:r>
      <w:r w:rsidRPr="007B4DB9">
        <w:rPr>
          <w:rFonts w:ascii="Arial" w:hAnsi="Arial" w:cs="Arial"/>
        </w:rPr>
        <w:t xml:space="preserve">2013 </w:t>
      </w:r>
      <w:r w:rsidR="00DF744A" w:rsidRPr="007B4DB9">
        <w:rPr>
          <w:rFonts w:ascii="Arial" w:hAnsi="Arial" w:cs="Arial"/>
        </w:rPr>
        <w:t xml:space="preserve">- </w:t>
      </w:r>
      <w:r w:rsidRPr="007B4DB9">
        <w:rPr>
          <w:rFonts w:ascii="Arial" w:hAnsi="Arial" w:cs="Arial"/>
        </w:rPr>
        <w:t xml:space="preserve">2018 w </w:t>
      </w:r>
      <w:r w:rsidR="00DF744A" w:rsidRPr="007B4DB9">
        <w:rPr>
          <w:rFonts w:ascii="Arial" w:hAnsi="Arial" w:cs="Arial"/>
        </w:rPr>
        <w:t>województwie lubelskim, w obu strefach</w:t>
      </w:r>
      <w:r w:rsidR="00997E73">
        <w:rPr>
          <w:rFonts w:ascii="Arial" w:hAnsi="Arial" w:cs="Arial"/>
        </w:rPr>
        <w:t>.</w:t>
      </w:r>
      <w:r w:rsidR="00DF744A" w:rsidRPr="007B4DB9">
        <w:rPr>
          <w:rFonts w:ascii="Arial" w:hAnsi="Arial" w:cs="Arial"/>
        </w:rPr>
        <w:t xml:space="preserve"> Pomiary prowadzone były na 8 stacjach pomiarowych w strefie lubelskiej i </w:t>
      </w:r>
      <w:r w:rsidR="00997E73">
        <w:rPr>
          <w:rFonts w:ascii="Arial" w:hAnsi="Arial" w:cs="Arial"/>
        </w:rPr>
        <w:t>2 stacjach</w:t>
      </w:r>
      <w:r w:rsidR="00DF744A" w:rsidRPr="007B4DB9">
        <w:rPr>
          <w:rFonts w:ascii="Arial" w:hAnsi="Arial" w:cs="Arial"/>
        </w:rPr>
        <w:t xml:space="preserve"> w Aglomeracji Lubelskiej.</w:t>
      </w:r>
      <w:r w:rsidRPr="007B4DB9">
        <w:rPr>
          <w:rFonts w:ascii="Arial" w:hAnsi="Arial" w:cs="Arial"/>
        </w:rPr>
        <w:t xml:space="preserve"> Największa liczba dni z przekroczeniem </w:t>
      </w:r>
      <w:r w:rsidR="00DF744A" w:rsidRPr="007B4DB9">
        <w:rPr>
          <w:rFonts w:ascii="Arial" w:hAnsi="Arial" w:cs="Arial"/>
        </w:rPr>
        <w:t>w strefie Aglomeracji Lubelskiej występowała</w:t>
      </w:r>
      <w:r w:rsidRPr="007B4DB9">
        <w:rPr>
          <w:rFonts w:ascii="Arial" w:hAnsi="Arial" w:cs="Arial"/>
        </w:rPr>
        <w:t xml:space="preserve"> na stacji zlokalizowanej przy ul. Obywatelskiej 13 w Lublinie</w:t>
      </w:r>
      <w:r w:rsidR="00E415AC" w:rsidRPr="007B4DB9">
        <w:rPr>
          <w:rFonts w:ascii="Arial" w:hAnsi="Arial" w:cs="Arial"/>
        </w:rPr>
        <w:t xml:space="preserve">, </w:t>
      </w:r>
      <w:r w:rsidR="00DF744A" w:rsidRPr="007B4DB9">
        <w:rPr>
          <w:rFonts w:ascii="Arial" w:hAnsi="Arial" w:cs="Arial"/>
        </w:rPr>
        <w:t>n</w:t>
      </w:r>
      <w:r w:rsidR="00E415AC" w:rsidRPr="007B4DB9">
        <w:rPr>
          <w:rFonts w:ascii="Arial" w:hAnsi="Arial" w:cs="Arial"/>
        </w:rPr>
        <w:t xml:space="preserve">atomiast </w:t>
      </w:r>
      <w:r w:rsidR="00DF744A" w:rsidRPr="007B4DB9">
        <w:rPr>
          <w:rFonts w:ascii="Arial" w:hAnsi="Arial" w:cs="Arial"/>
        </w:rPr>
        <w:t xml:space="preserve">w strefie lubelskiej </w:t>
      </w:r>
      <w:r w:rsidR="00E415AC" w:rsidRPr="007B4DB9">
        <w:rPr>
          <w:rFonts w:ascii="Arial" w:hAnsi="Arial" w:cs="Arial"/>
        </w:rPr>
        <w:t>największa liczba dni z przekroczeniami w trakcie tego okresu przypadła na stacje pomiarowe w Białej Podlaskiej, Chełmie, Radzyniu Podlaskim i Zamościu.</w:t>
      </w:r>
    </w:p>
    <w:p w14:paraId="3231227C" w14:textId="6C77113C" w:rsidR="00E415AC" w:rsidRPr="007B4DB9" w:rsidRDefault="00E415AC" w:rsidP="007B4DB9">
      <w:pPr>
        <w:spacing w:after="0"/>
        <w:jc w:val="both"/>
        <w:rPr>
          <w:rFonts w:ascii="Arial" w:hAnsi="Arial" w:cs="Arial"/>
        </w:rPr>
      </w:pPr>
      <w:r w:rsidRPr="007B4DB9">
        <w:rPr>
          <w:rFonts w:ascii="Arial" w:hAnsi="Arial" w:cs="Arial"/>
        </w:rPr>
        <w:t>Na przekroju lat nie wystąpiły jednak przekroczenia średniorocznego poziomu dopuszczalnego pyłu zawieszonego PM10</w:t>
      </w:r>
      <w:r w:rsidR="00DF744A" w:rsidRPr="007B4DB9">
        <w:rPr>
          <w:rFonts w:ascii="Arial" w:hAnsi="Arial" w:cs="Arial"/>
        </w:rPr>
        <w:t>.</w:t>
      </w:r>
    </w:p>
    <w:p w14:paraId="5A687C40" w14:textId="3AE58493" w:rsidR="00E05CB9" w:rsidRPr="007B4DB9" w:rsidRDefault="00E05CB9" w:rsidP="007B4DB9">
      <w:pPr>
        <w:spacing w:after="0"/>
        <w:jc w:val="both"/>
        <w:rPr>
          <w:rFonts w:ascii="Arial" w:hAnsi="Arial" w:cs="Arial"/>
        </w:rPr>
      </w:pPr>
      <w:r w:rsidRPr="007B4DB9">
        <w:rPr>
          <w:rFonts w:ascii="Arial" w:hAnsi="Arial" w:cs="Arial"/>
        </w:rPr>
        <w:lastRenderedPageBreak/>
        <w:t xml:space="preserve">Natomiast w rocznej ocenie jakości powietrza za rok 2019 obie strefy zostały zaliczone do klasy A ze względu na zanieczyszczenia pyłem PM10. Na żadnym stanowisku nie stwierdzono </w:t>
      </w:r>
      <w:r w:rsidR="00434B6C">
        <w:rPr>
          <w:rFonts w:ascii="Arial" w:hAnsi="Arial" w:cs="Arial"/>
        </w:rPr>
        <w:t xml:space="preserve">dopuszczalnych 35 dni z </w:t>
      </w:r>
      <w:r w:rsidRPr="007B4DB9">
        <w:rPr>
          <w:rFonts w:ascii="Arial" w:hAnsi="Arial" w:cs="Arial"/>
        </w:rPr>
        <w:t>przekroczeni</w:t>
      </w:r>
      <w:r w:rsidR="00434B6C">
        <w:rPr>
          <w:rFonts w:ascii="Arial" w:hAnsi="Arial" w:cs="Arial"/>
        </w:rPr>
        <w:t>em</w:t>
      </w:r>
      <w:r w:rsidRPr="007B4DB9">
        <w:rPr>
          <w:rFonts w:ascii="Arial" w:hAnsi="Arial" w:cs="Arial"/>
        </w:rPr>
        <w:t xml:space="preserve"> dopuszczalnego stężenia 24-godzinnego, najwięcej dni z przekroczeniami odnotowano na stacji w Zamościu – 26.</w:t>
      </w:r>
    </w:p>
    <w:p w14:paraId="1EE2094D" w14:textId="6578FB5F" w:rsidR="00E415AC" w:rsidRPr="007B4DB9" w:rsidRDefault="007B4DB9" w:rsidP="006F0CDD">
      <w:pPr>
        <w:pStyle w:val="Akapitzlist"/>
        <w:numPr>
          <w:ilvl w:val="0"/>
          <w:numId w:val="16"/>
        </w:numPr>
        <w:jc w:val="both"/>
        <w:rPr>
          <w:rFonts w:cs="Arial"/>
        </w:rPr>
      </w:pPr>
      <w:r w:rsidRPr="007B4DB9">
        <w:rPr>
          <w:rFonts w:cs="Arial"/>
        </w:rPr>
        <w:t>Przekroczenia</w:t>
      </w:r>
      <w:r w:rsidR="00E415AC" w:rsidRPr="007B4DB9">
        <w:rPr>
          <w:rFonts w:cs="Arial"/>
        </w:rPr>
        <w:t xml:space="preserve"> poziomu </w:t>
      </w:r>
      <w:r w:rsidR="00E05CB9" w:rsidRPr="007B4DB9">
        <w:rPr>
          <w:rFonts w:cs="Arial"/>
        </w:rPr>
        <w:t>dopuszczalnego</w:t>
      </w:r>
      <w:r w:rsidR="00E415AC" w:rsidRPr="007B4DB9">
        <w:rPr>
          <w:rFonts w:cs="Arial"/>
        </w:rPr>
        <w:t xml:space="preserve"> pyłu zawieszonego PM</w:t>
      </w:r>
      <w:r w:rsidR="00FD4733" w:rsidRPr="007B4DB9">
        <w:rPr>
          <w:rFonts w:cs="Arial"/>
        </w:rPr>
        <w:t>2,5</w:t>
      </w:r>
      <w:r w:rsidR="00752F6E">
        <w:rPr>
          <w:rFonts w:cs="Arial"/>
        </w:rPr>
        <w:t>.</w:t>
      </w:r>
    </w:p>
    <w:p w14:paraId="5E82F05B" w14:textId="30C4D720" w:rsidR="00FD4733" w:rsidRPr="007B4DB9" w:rsidRDefault="00FD4733" w:rsidP="006F0CDD">
      <w:pPr>
        <w:spacing w:after="0"/>
        <w:jc w:val="both"/>
        <w:rPr>
          <w:rFonts w:ascii="Arial" w:hAnsi="Arial" w:cs="Arial"/>
        </w:rPr>
      </w:pPr>
      <w:r w:rsidRPr="007B4DB9">
        <w:rPr>
          <w:rFonts w:ascii="Arial" w:hAnsi="Arial" w:cs="Arial"/>
        </w:rPr>
        <w:t>Pomiary przeprowadzone w latach 2013</w:t>
      </w:r>
      <w:r w:rsidR="00997E73">
        <w:rPr>
          <w:rFonts w:ascii="Arial" w:hAnsi="Arial" w:cs="Arial"/>
        </w:rPr>
        <w:t xml:space="preserve"> </w:t>
      </w:r>
      <w:r w:rsidRPr="007B4DB9">
        <w:rPr>
          <w:rFonts w:ascii="Arial" w:hAnsi="Arial" w:cs="Arial"/>
        </w:rPr>
        <w:t>-</w:t>
      </w:r>
      <w:r w:rsidR="00997E73">
        <w:rPr>
          <w:rFonts w:ascii="Arial" w:hAnsi="Arial" w:cs="Arial"/>
        </w:rPr>
        <w:t xml:space="preserve"> </w:t>
      </w:r>
      <w:r w:rsidRPr="007B4DB9">
        <w:rPr>
          <w:rFonts w:ascii="Arial" w:hAnsi="Arial" w:cs="Arial"/>
        </w:rPr>
        <w:t xml:space="preserve">2018 dokonano w odniesieniu do poziomu dopuszczalnego dla fazy I (25 </w:t>
      </w:r>
      <w:proofErr w:type="spellStart"/>
      <w:r w:rsidR="00997E73" w:rsidRPr="0000400D">
        <w:rPr>
          <w:rFonts w:ascii="Arial" w:hAnsi="Arial" w:cs="Arial"/>
        </w:rPr>
        <w:t>μ</w:t>
      </w:r>
      <w:r w:rsidRPr="007B4DB9">
        <w:rPr>
          <w:rFonts w:ascii="Arial" w:hAnsi="Arial" w:cs="Arial"/>
        </w:rPr>
        <w:t>g</w:t>
      </w:r>
      <w:proofErr w:type="spellEnd"/>
      <w:r w:rsidRPr="007B4DB9">
        <w:rPr>
          <w:rFonts w:ascii="Arial" w:hAnsi="Arial" w:cs="Arial"/>
        </w:rPr>
        <w:t>/m</w:t>
      </w:r>
      <w:r w:rsidR="00997E73">
        <w:rPr>
          <w:rFonts w:ascii="Arial" w:hAnsi="Arial" w:cs="Arial"/>
          <w:vertAlign w:val="superscript"/>
        </w:rPr>
        <w:t>3</w:t>
      </w:r>
      <w:r w:rsidRPr="007B4DB9">
        <w:rPr>
          <w:rFonts w:ascii="Arial" w:hAnsi="Arial" w:cs="Arial"/>
        </w:rPr>
        <w:t xml:space="preserve">) oraz poziomu dopuszczalnego dla fazy II (20 </w:t>
      </w:r>
      <w:proofErr w:type="spellStart"/>
      <w:r w:rsidR="00997E73" w:rsidRPr="0000400D">
        <w:rPr>
          <w:rFonts w:ascii="Arial" w:hAnsi="Arial" w:cs="Arial"/>
        </w:rPr>
        <w:t>μ</w:t>
      </w:r>
      <w:r w:rsidRPr="007B4DB9">
        <w:rPr>
          <w:rFonts w:ascii="Arial" w:hAnsi="Arial" w:cs="Arial"/>
        </w:rPr>
        <w:t>g</w:t>
      </w:r>
      <w:proofErr w:type="spellEnd"/>
      <w:r w:rsidRPr="007B4DB9">
        <w:rPr>
          <w:rFonts w:ascii="Arial" w:hAnsi="Arial" w:cs="Arial"/>
        </w:rPr>
        <w:t>/m</w:t>
      </w:r>
      <w:r w:rsidR="00997E73">
        <w:rPr>
          <w:rFonts w:ascii="Arial" w:hAnsi="Arial" w:cs="Arial"/>
          <w:vertAlign w:val="superscript"/>
        </w:rPr>
        <w:t>3</w:t>
      </w:r>
      <w:r w:rsidRPr="007B4DB9">
        <w:rPr>
          <w:rFonts w:ascii="Arial" w:hAnsi="Arial" w:cs="Arial"/>
        </w:rPr>
        <w:t>), który musi</w:t>
      </w:r>
      <w:r w:rsidR="007B4DB9" w:rsidRPr="007B4DB9">
        <w:rPr>
          <w:rFonts w:ascii="Arial" w:hAnsi="Arial" w:cs="Arial"/>
        </w:rPr>
        <w:t>ał</w:t>
      </w:r>
      <w:r w:rsidRPr="007B4DB9">
        <w:rPr>
          <w:rFonts w:ascii="Arial" w:hAnsi="Arial" w:cs="Arial"/>
        </w:rPr>
        <w:t xml:space="preserve"> zostać osiągnięty do 2020 roku. </w:t>
      </w:r>
      <w:r w:rsidR="007B4DB9" w:rsidRPr="007B4DB9">
        <w:rPr>
          <w:rFonts w:ascii="Arial" w:hAnsi="Arial" w:cs="Arial"/>
        </w:rPr>
        <w:t>Analiza p</w:t>
      </w:r>
      <w:r w:rsidRPr="007B4DB9">
        <w:rPr>
          <w:rFonts w:ascii="Arial" w:hAnsi="Arial" w:cs="Arial"/>
        </w:rPr>
        <w:t>omiar</w:t>
      </w:r>
      <w:r w:rsidR="007B4DB9" w:rsidRPr="007B4DB9">
        <w:rPr>
          <w:rFonts w:ascii="Arial" w:hAnsi="Arial" w:cs="Arial"/>
        </w:rPr>
        <w:t>ów</w:t>
      </w:r>
      <w:r w:rsidRPr="007B4DB9">
        <w:rPr>
          <w:rFonts w:ascii="Arial" w:hAnsi="Arial" w:cs="Arial"/>
        </w:rPr>
        <w:t xml:space="preserve"> pozwala stwierdzić</w:t>
      </w:r>
      <w:r w:rsidR="007B4DB9" w:rsidRPr="007B4DB9">
        <w:rPr>
          <w:rFonts w:ascii="Arial" w:hAnsi="Arial" w:cs="Arial"/>
        </w:rPr>
        <w:t>,</w:t>
      </w:r>
      <w:r w:rsidRPr="007B4DB9">
        <w:rPr>
          <w:rFonts w:ascii="Arial" w:hAnsi="Arial" w:cs="Arial"/>
        </w:rPr>
        <w:t xml:space="preserve"> że </w:t>
      </w:r>
      <w:r w:rsidR="007B4DB9" w:rsidRPr="007B4DB9">
        <w:rPr>
          <w:rFonts w:ascii="Arial" w:hAnsi="Arial" w:cs="Arial"/>
        </w:rPr>
        <w:t>w</w:t>
      </w:r>
      <w:r w:rsidR="00997E73">
        <w:rPr>
          <w:rFonts w:ascii="Arial" w:hAnsi="Arial" w:cs="Arial"/>
        </w:rPr>
        <w:t> </w:t>
      </w:r>
      <w:r w:rsidR="007B4DB9" w:rsidRPr="007B4DB9">
        <w:rPr>
          <w:rFonts w:ascii="Arial" w:hAnsi="Arial" w:cs="Arial"/>
        </w:rPr>
        <w:t xml:space="preserve">Aglomeracji Lubelskiej (stacja przy ul. Obywatelskiej 13 w Lublinie) </w:t>
      </w:r>
      <w:r w:rsidRPr="007B4DB9">
        <w:rPr>
          <w:rFonts w:ascii="Arial" w:hAnsi="Arial" w:cs="Arial"/>
        </w:rPr>
        <w:t>wystąpiło przekroczenie poziomu dopuszczalnego pyłu zawieszonego PM2,5 dla</w:t>
      </w:r>
      <w:r w:rsidR="007B4DB9" w:rsidRPr="007B4DB9">
        <w:rPr>
          <w:rFonts w:ascii="Arial" w:hAnsi="Arial" w:cs="Arial"/>
        </w:rPr>
        <w:t xml:space="preserve"> II</w:t>
      </w:r>
      <w:r w:rsidRPr="007B4DB9">
        <w:rPr>
          <w:rFonts w:ascii="Arial" w:hAnsi="Arial" w:cs="Arial"/>
        </w:rPr>
        <w:t xml:space="preserve"> fazy w każdym roku </w:t>
      </w:r>
      <w:r w:rsidR="007B4DB9" w:rsidRPr="007B4DB9">
        <w:rPr>
          <w:rFonts w:ascii="Arial" w:hAnsi="Arial" w:cs="Arial"/>
        </w:rPr>
        <w:t>(</w:t>
      </w:r>
      <w:r w:rsidRPr="007B4DB9">
        <w:rPr>
          <w:rFonts w:ascii="Arial" w:hAnsi="Arial" w:cs="Arial"/>
        </w:rPr>
        <w:t xml:space="preserve">z </w:t>
      </w:r>
      <w:r w:rsidR="007B4DB9" w:rsidRPr="007B4DB9">
        <w:rPr>
          <w:rFonts w:ascii="Arial" w:hAnsi="Arial" w:cs="Arial"/>
        </w:rPr>
        <w:t>wyjątkiem</w:t>
      </w:r>
      <w:r w:rsidRPr="007B4DB9">
        <w:rPr>
          <w:rFonts w:ascii="Arial" w:hAnsi="Arial" w:cs="Arial"/>
        </w:rPr>
        <w:t xml:space="preserve"> 2016 i 2018</w:t>
      </w:r>
      <w:r w:rsidR="007B4DB9" w:rsidRPr="007B4DB9">
        <w:rPr>
          <w:rFonts w:ascii="Arial" w:hAnsi="Arial" w:cs="Arial"/>
        </w:rPr>
        <w:t>),</w:t>
      </w:r>
      <w:r w:rsidRPr="007B4DB9">
        <w:rPr>
          <w:rFonts w:ascii="Arial" w:hAnsi="Arial" w:cs="Arial"/>
        </w:rPr>
        <w:t xml:space="preserve"> natomiast </w:t>
      </w:r>
      <w:r w:rsidR="00E05CB9" w:rsidRPr="007B4DB9">
        <w:rPr>
          <w:rFonts w:ascii="Arial" w:hAnsi="Arial" w:cs="Arial"/>
        </w:rPr>
        <w:t>na stacjach w Białej Podlaskiej, Chełmie i Zamościu (</w:t>
      </w:r>
      <w:r w:rsidR="007B4DB9" w:rsidRPr="007B4DB9">
        <w:rPr>
          <w:rFonts w:ascii="Arial" w:hAnsi="Arial" w:cs="Arial"/>
        </w:rPr>
        <w:t xml:space="preserve">w latach </w:t>
      </w:r>
      <w:r w:rsidR="00E05CB9" w:rsidRPr="007B4DB9">
        <w:rPr>
          <w:rFonts w:ascii="Arial" w:hAnsi="Arial" w:cs="Arial"/>
        </w:rPr>
        <w:t>2013 i</w:t>
      </w:r>
      <w:r w:rsidR="00997E73">
        <w:rPr>
          <w:rFonts w:ascii="Arial" w:hAnsi="Arial" w:cs="Arial"/>
        </w:rPr>
        <w:t> </w:t>
      </w:r>
      <w:r w:rsidR="00E05CB9" w:rsidRPr="007B4DB9">
        <w:rPr>
          <w:rFonts w:ascii="Arial" w:hAnsi="Arial" w:cs="Arial"/>
        </w:rPr>
        <w:t>2014 r</w:t>
      </w:r>
      <w:r w:rsidR="00752F6E">
        <w:rPr>
          <w:rFonts w:ascii="Arial" w:hAnsi="Arial" w:cs="Arial"/>
        </w:rPr>
        <w:t>.</w:t>
      </w:r>
      <w:r w:rsidR="007B4DB9" w:rsidRPr="007B4DB9">
        <w:rPr>
          <w:rFonts w:ascii="Arial" w:hAnsi="Arial" w:cs="Arial"/>
        </w:rPr>
        <w:t xml:space="preserve"> pomiary nie były prowadzone na stacji w Zamościu</w:t>
      </w:r>
      <w:r w:rsidR="00E05CB9" w:rsidRPr="007B4DB9">
        <w:rPr>
          <w:rFonts w:ascii="Arial" w:hAnsi="Arial" w:cs="Arial"/>
        </w:rPr>
        <w:t xml:space="preserve">) przekroczenia poziomu </w:t>
      </w:r>
      <w:r w:rsidRPr="007B4DB9">
        <w:rPr>
          <w:rFonts w:ascii="Arial" w:hAnsi="Arial" w:cs="Arial"/>
        </w:rPr>
        <w:t xml:space="preserve"> </w:t>
      </w:r>
      <w:r w:rsidR="00E05CB9" w:rsidRPr="007B4DB9">
        <w:rPr>
          <w:rFonts w:ascii="Arial" w:hAnsi="Arial" w:cs="Arial"/>
        </w:rPr>
        <w:t xml:space="preserve">dopuszczalnego dla fazy II </w:t>
      </w:r>
      <w:r w:rsidR="007B4DB9" w:rsidRPr="007B4DB9">
        <w:rPr>
          <w:rFonts w:ascii="Arial" w:hAnsi="Arial" w:cs="Arial"/>
        </w:rPr>
        <w:t xml:space="preserve">występowały </w:t>
      </w:r>
      <w:r w:rsidR="00E05CB9" w:rsidRPr="007B4DB9">
        <w:rPr>
          <w:rFonts w:ascii="Arial" w:hAnsi="Arial" w:cs="Arial"/>
        </w:rPr>
        <w:t>na przestrzeni 6 lat.</w:t>
      </w:r>
    </w:p>
    <w:p w14:paraId="6A0F021B" w14:textId="2E62416A" w:rsidR="009F1D93" w:rsidRPr="007B4DB9" w:rsidRDefault="007B4DB9" w:rsidP="006F0CDD">
      <w:pPr>
        <w:spacing w:after="0"/>
        <w:jc w:val="both"/>
        <w:rPr>
          <w:rFonts w:ascii="Arial" w:hAnsi="Arial" w:cs="Arial"/>
        </w:rPr>
      </w:pPr>
      <w:r w:rsidRPr="007B4DB9">
        <w:rPr>
          <w:rFonts w:ascii="Arial" w:hAnsi="Arial" w:cs="Arial"/>
        </w:rPr>
        <w:t>Wskazać należy, że w</w:t>
      </w:r>
      <w:r w:rsidR="00997E73">
        <w:rPr>
          <w:rFonts w:ascii="Arial" w:hAnsi="Arial" w:cs="Arial"/>
        </w:rPr>
        <w:t>edłu</w:t>
      </w:r>
      <w:r w:rsidR="009F1D93" w:rsidRPr="007B4DB9">
        <w:rPr>
          <w:rFonts w:ascii="Arial" w:hAnsi="Arial" w:cs="Arial"/>
        </w:rPr>
        <w:t xml:space="preserve">g rocznej oceny za 2019 rok z uwagi na brak przekroczeń na wszystkich </w:t>
      </w:r>
      <w:r w:rsidRPr="007B4DB9">
        <w:rPr>
          <w:rFonts w:ascii="Arial" w:hAnsi="Arial" w:cs="Arial"/>
        </w:rPr>
        <w:t>stanowiskach</w:t>
      </w:r>
      <w:r w:rsidR="009F1D93" w:rsidRPr="007B4DB9">
        <w:rPr>
          <w:rFonts w:ascii="Arial" w:hAnsi="Arial" w:cs="Arial"/>
        </w:rPr>
        <w:t xml:space="preserve"> pomiarowych </w:t>
      </w:r>
      <w:r w:rsidRPr="007B4DB9">
        <w:rPr>
          <w:rFonts w:ascii="Arial" w:hAnsi="Arial" w:cs="Arial"/>
        </w:rPr>
        <w:t xml:space="preserve">strefę </w:t>
      </w:r>
      <w:r w:rsidR="009F1D93" w:rsidRPr="007B4DB9">
        <w:rPr>
          <w:rFonts w:ascii="Arial" w:hAnsi="Arial" w:cs="Arial"/>
        </w:rPr>
        <w:t>Aglomeracj</w:t>
      </w:r>
      <w:r w:rsidRPr="007B4DB9">
        <w:rPr>
          <w:rFonts w:ascii="Arial" w:hAnsi="Arial" w:cs="Arial"/>
        </w:rPr>
        <w:t>a</w:t>
      </w:r>
      <w:r w:rsidR="009F1D93" w:rsidRPr="007B4DB9">
        <w:rPr>
          <w:rFonts w:ascii="Arial" w:hAnsi="Arial" w:cs="Arial"/>
        </w:rPr>
        <w:t xml:space="preserve"> Lubelsk</w:t>
      </w:r>
      <w:r w:rsidRPr="007B4DB9">
        <w:rPr>
          <w:rFonts w:ascii="Arial" w:hAnsi="Arial" w:cs="Arial"/>
        </w:rPr>
        <w:t>a</w:t>
      </w:r>
      <w:r w:rsidR="009F1D93" w:rsidRPr="007B4DB9">
        <w:rPr>
          <w:rFonts w:ascii="Arial" w:hAnsi="Arial" w:cs="Arial"/>
        </w:rPr>
        <w:t xml:space="preserve"> oraz stref</w:t>
      </w:r>
      <w:r w:rsidR="00997E73">
        <w:rPr>
          <w:rFonts w:ascii="Arial" w:hAnsi="Arial" w:cs="Arial"/>
        </w:rPr>
        <w:t>ę</w:t>
      </w:r>
      <w:r w:rsidR="009F1D93" w:rsidRPr="007B4DB9">
        <w:rPr>
          <w:rFonts w:ascii="Arial" w:hAnsi="Arial" w:cs="Arial"/>
        </w:rPr>
        <w:t xml:space="preserve"> lubelsk</w:t>
      </w:r>
      <w:r w:rsidR="00997E73">
        <w:rPr>
          <w:rFonts w:ascii="Arial" w:hAnsi="Arial" w:cs="Arial"/>
        </w:rPr>
        <w:t>ą</w:t>
      </w:r>
      <w:r w:rsidR="009F1D93" w:rsidRPr="007B4DB9">
        <w:rPr>
          <w:rFonts w:ascii="Arial" w:hAnsi="Arial" w:cs="Arial"/>
        </w:rPr>
        <w:t xml:space="preserve"> w</w:t>
      </w:r>
      <w:r w:rsidR="00997E73">
        <w:rPr>
          <w:rFonts w:ascii="Arial" w:hAnsi="Arial" w:cs="Arial"/>
        </w:rPr>
        <w:t>edłu</w:t>
      </w:r>
      <w:r w:rsidR="009F1D93" w:rsidRPr="007B4DB9">
        <w:rPr>
          <w:rFonts w:ascii="Arial" w:hAnsi="Arial" w:cs="Arial"/>
        </w:rPr>
        <w:t xml:space="preserve">g poziomu dopuszczalnego dla I fazy </w:t>
      </w:r>
      <w:r w:rsidRPr="007B4DB9">
        <w:rPr>
          <w:rFonts w:ascii="Arial" w:hAnsi="Arial" w:cs="Arial"/>
        </w:rPr>
        <w:t>zaliczono</w:t>
      </w:r>
      <w:r w:rsidR="009F1D93" w:rsidRPr="007B4DB9">
        <w:rPr>
          <w:rFonts w:ascii="Arial" w:hAnsi="Arial" w:cs="Arial"/>
        </w:rPr>
        <w:t xml:space="preserve"> do klasy A, natomiast </w:t>
      </w:r>
      <w:r w:rsidR="00752F6E">
        <w:rPr>
          <w:rFonts w:ascii="Arial" w:hAnsi="Arial" w:cs="Arial"/>
        </w:rPr>
        <w:t>według dodatkowej klasyfikacji dla pyłu PM2,5 dla fazy II</w:t>
      </w:r>
      <w:r w:rsidR="009F1D93" w:rsidRPr="007B4DB9">
        <w:rPr>
          <w:rFonts w:ascii="Arial" w:hAnsi="Arial" w:cs="Arial"/>
        </w:rPr>
        <w:t xml:space="preserve"> obie strefy uzyskały </w:t>
      </w:r>
      <w:r w:rsidRPr="007B4DB9">
        <w:rPr>
          <w:rFonts w:ascii="Arial" w:hAnsi="Arial" w:cs="Arial"/>
        </w:rPr>
        <w:t>klasę</w:t>
      </w:r>
      <w:r w:rsidR="009F1D93" w:rsidRPr="007B4DB9">
        <w:rPr>
          <w:rFonts w:ascii="Arial" w:hAnsi="Arial" w:cs="Arial"/>
        </w:rPr>
        <w:t xml:space="preserve"> A1.</w:t>
      </w:r>
    </w:p>
    <w:p w14:paraId="3BC2164E" w14:textId="7753DA37" w:rsidR="00E05CB9" w:rsidRPr="007B4DB9" w:rsidRDefault="00E05CB9" w:rsidP="006F0CDD">
      <w:pPr>
        <w:pStyle w:val="Akapitzlist"/>
        <w:numPr>
          <w:ilvl w:val="0"/>
          <w:numId w:val="16"/>
        </w:numPr>
        <w:jc w:val="both"/>
        <w:rPr>
          <w:rFonts w:cs="Arial"/>
        </w:rPr>
      </w:pPr>
      <w:r w:rsidRPr="007B4DB9">
        <w:rPr>
          <w:rFonts w:cs="Arial"/>
        </w:rPr>
        <w:t xml:space="preserve">Przekroczenie poziomu docelowego </w:t>
      </w:r>
      <w:proofErr w:type="spellStart"/>
      <w:r w:rsidRPr="007B4DB9">
        <w:rPr>
          <w:rFonts w:cs="Arial"/>
        </w:rPr>
        <w:t>benzo</w:t>
      </w:r>
      <w:proofErr w:type="spellEnd"/>
      <w:r w:rsidRPr="007B4DB9">
        <w:rPr>
          <w:rFonts w:cs="Arial"/>
        </w:rPr>
        <w:t>(a)</w:t>
      </w:r>
      <w:proofErr w:type="spellStart"/>
      <w:r w:rsidRPr="007B4DB9">
        <w:rPr>
          <w:rFonts w:cs="Arial"/>
        </w:rPr>
        <w:t>pirenu</w:t>
      </w:r>
      <w:proofErr w:type="spellEnd"/>
      <w:r w:rsidR="00752F6E">
        <w:rPr>
          <w:rFonts w:cs="Arial"/>
        </w:rPr>
        <w:t>.</w:t>
      </w:r>
    </w:p>
    <w:p w14:paraId="6F767778" w14:textId="5796AF18" w:rsidR="00E05CB9" w:rsidRPr="007B4DB9" w:rsidRDefault="007B4DB9" w:rsidP="006F0CDD">
      <w:pPr>
        <w:spacing w:after="0"/>
        <w:jc w:val="both"/>
        <w:rPr>
          <w:rFonts w:ascii="Arial" w:hAnsi="Arial" w:cs="Arial"/>
        </w:rPr>
      </w:pPr>
      <w:r w:rsidRPr="007B4DB9">
        <w:rPr>
          <w:rFonts w:ascii="Arial" w:hAnsi="Arial" w:cs="Arial"/>
        </w:rPr>
        <w:t>Na przestrzeni lat 2013 – 2018 w</w:t>
      </w:r>
      <w:r w:rsidR="00E05CB9" w:rsidRPr="007B4DB9">
        <w:rPr>
          <w:rFonts w:ascii="Arial" w:hAnsi="Arial" w:cs="Arial"/>
        </w:rPr>
        <w:t xml:space="preserve"> strefie</w:t>
      </w:r>
      <w:r w:rsidRPr="007B4DB9">
        <w:rPr>
          <w:rFonts w:ascii="Arial" w:hAnsi="Arial" w:cs="Arial"/>
        </w:rPr>
        <w:t xml:space="preserve"> </w:t>
      </w:r>
      <w:r w:rsidR="00E05CB9" w:rsidRPr="007B4DB9">
        <w:rPr>
          <w:rFonts w:ascii="Arial" w:hAnsi="Arial" w:cs="Arial"/>
        </w:rPr>
        <w:t>aglomeracja lubelska (</w:t>
      </w:r>
      <w:r w:rsidRPr="007B4DB9">
        <w:rPr>
          <w:rFonts w:ascii="Arial" w:hAnsi="Arial" w:cs="Arial"/>
        </w:rPr>
        <w:t xml:space="preserve">ul. </w:t>
      </w:r>
      <w:r w:rsidR="00752F6E">
        <w:rPr>
          <w:rFonts w:ascii="Arial" w:hAnsi="Arial" w:cs="Arial"/>
        </w:rPr>
        <w:t>Ś</w:t>
      </w:r>
      <w:r w:rsidR="00E05CB9" w:rsidRPr="007B4DB9">
        <w:rPr>
          <w:rFonts w:ascii="Arial" w:hAnsi="Arial" w:cs="Arial"/>
        </w:rPr>
        <w:t xml:space="preserve">liwińskiego) w każdym analizowanym roku pomiarowym, występują przekroczenia poziomu docelowego dla </w:t>
      </w:r>
      <w:proofErr w:type="spellStart"/>
      <w:r w:rsidR="00E05CB9" w:rsidRPr="007B4DB9">
        <w:rPr>
          <w:rFonts w:ascii="Arial" w:hAnsi="Arial" w:cs="Arial"/>
        </w:rPr>
        <w:t>benzo</w:t>
      </w:r>
      <w:proofErr w:type="spellEnd"/>
      <w:r w:rsidR="00E05CB9" w:rsidRPr="007B4DB9">
        <w:rPr>
          <w:rFonts w:ascii="Arial" w:hAnsi="Arial" w:cs="Arial"/>
        </w:rPr>
        <w:t>(a)</w:t>
      </w:r>
      <w:proofErr w:type="spellStart"/>
      <w:r w:rsidR="00E05CB9" w:rsidRPr="007B4DB9">
        <w:rPr>
          <w:rFonts w:ascii="Arial" w:hAnsi="Arial" w:cs="Arial"/>
        </w:rPr>
        <w:t>pirenu</w:t>
      </w:r>
      <w:proofErr w:type="spellEnd"/>
      <w:r w:rsidR="00E05CB9" w:rsidRPr="007B4DB9">
        <w:rPr>
          <w:rFonts w:ascii="Arial" w:hAnsi="Arial" w:cs="Arial"/>
        </w:rPr>
        <w:t>, podobna sytuacja miała miejsce w 4 stacjach strefy lubelskiej</w:t>
      </w:r>
      <w:r w:rsidRPr="007B4DB9">
        <w:rPr>
          <w:rFonts w:ascii="Arial" w:hAnsi="Arial" w:cs="Arial"/>
        </w:rPr>
        <w:t>:</w:t>
      </w:r>
      <w:r w:rsidR="00E05CB9" w:rsidRPr="007B4DB9">
        <w:rPr>
          <w:rFonts w:ascii="Arial" w:hAnsi="Arial" w:cs="Arial"/>
        </w:rPr>
        <w:t xml:space="preserve"> Biała Podlaska, Chełm, Kraśnik </w:t>
      </w:r>
      <w:r w:rsidRPr="007B4DB9">
        <w:rPr>
          <w:rFonts w:ascii="Arial" w:hAnsi="Arial" w:cs="Arial"/>
        </w:rPr>
        <w:t>i</w:t>
      </w:r>
      <w:r w:rsidR="00E05CB9" w:rsidRPr="007B4DB9">
        <w:rPr>
          <w:rFonts w:ascii="Arial" w:hAnsi="Arial" w:cs="Arial"/>
        </w:rPr>
        <w:t xml:space="preserve"> Zamość</w:t>
      </w:r>
      <w:r w:rsidRPr="007B4DB9">
        <w:rPr>
          <w:rFonts w:ascii="Arial" w:hAnsi="Arial" w:cs="Arial"/>
        </w:rPr>
        <w:t>.</w:t>
      </w:r>
    </w:p>
    <w:p w14:paraId="74665CAD" w14:textId="31FAA121" w:rsidR="009F1D93" w:rsidRPr="007B4DB9" w:rsidRDefault="009F1D93" w:rsidP="00997E73">
      <w:pPr>
        <w:spacing w:after="0"/>
        <w:jc w:val="both"/>
        <w:rPr>
          <w:rFonts w:ascii="Arial" w:hAnsi="Arial" w:cs="Arial"/>
        </w:rPr>
      </w:pPr>
      <w:r w:rsidRPr="007B4DB9">
        <w:rPr>
          <w:rFonts w:ascii="Arial" w:hAnsi="Arial" w:cs="Arial"/>
        </w:rPr>
        <w:t xml:space="preserve">W roku 2019 przekroczenie poziomu docelowego </w:t>
      </w:r>
      <w:proofErr w:type="spellStart"/>
      <w:r w:rsidRPr="007B4DB9">
        <w:rPr>
          <w:rFonts w:ascii="Arial" w:hAnsi="Arial" w:cs="Arial"/>
        </w:rPr>
        <w:t>benzo</w:t>
      </w:r>
      <w:proofErr w:type="spellEnd"/>
      <w:r w:rsidRPr="007B4DB9">
        <w:rPr>
          <w:rFonts w:ascii="Arial" w:hAnsi="Arial" w:cs="Arial"/>
        </w:rPr>
        <w:t>(a)</w:t>
      </w:r>
      <w:proofErr w:type="spellStart"/>
      <w:r w:rsidRPr="007B4DB9">
        <w:rPr>
          <w:rFonts w:ascii="Arial" w:hAnsi="Arial" w:cs="Arial"/>
        </w:rPr>
        <w:t>pirenu</w:t>
      </w:r>
      <w:proofErr w:type="spellEnd"/>
      <w:r w:rsidRPr="007B4DB9">
        <w:rPr>
          <w:rFonts w:ascii="Arial" w:hAnsi="Arial" w:cs="Arial"/>
        </w:rPr>
        <w:t xml:space="preserve"> wystąpiło </w:t>
      </w:r>
      <w:r w:rsidR="007B4DB9" w:rsidRPr="007B4DB9">
        <w:rPr>
          <w:rFonts w:ascii="Arial" w:hAnsi="Arial" w:cs="Arial"/>
        </w:rPr>
        <w:t xml:space="preserve">również </w:t>
      </w:r>
      <w:r w:rsidRPr="007B4DB9">
        <w:rPr>
          <w:rFonts w:ascii="Arial" w:hAnsi="Arial" w:cs="Arial"/>
        </w:rPr>
        <w:t>lokalnie na obszarze całego województwa, co potwierdziły pomiary</w:t>
      </w:r>
      <w:r w:rsidR="007B4DB9" w:rsidRPr="007B4DB9">
        <w:rPr>
          <w:rFonts w:ascii="Arial" w:hAnsi="Arial" w:cs="Arial"/>
        </w:rPr>
        <w:t>,</w:t>
      </w:r>
      <w:r w:rsidR="006F0CDD" w:rsidRPr="007B4DB9">
        <w:rPr>
          <w:rFonts w:ascii="Arial" w:hAnsi="Arial" w:cs="Arial"/>
        </w:rPr>
        <w:t xml:space="preserve"> </w:t>
      </w:r>
      <w:r w:rsidR="007B4DB9" w:rsidRPr="007B4DB9">
        <w:rPr>
          <w:rFonts w:ascii="Arial" w:hAnsi="Arial" w:cs="Arial"/>
        </w:rPr>
        <w:t>a</w:t>
      </w:r>
      <w:r w:rsidR="006F0CDD" w:rsidRPr="007B4DB9">
        <w:rPr>
          <w:rFonts w:ascii="Arial" w:hAnsi="Arial" w:cs="Arial"/>
        </w:rPr>
        <w:t xml:space="preserve"> ze względu na zanieczyszczenia </w:t>
      </w:r>
      <w:proofErr w:type="spellStart"/>
      <w:r w:rsidR="006F0CDD" w:rsidRPr="007B4DB9">
        <w:rPr>
          <w:rFonts w:ascii="Arial" w:hAnsi="Arial" w:cs="Arial"/>
        </w:rPr>
        <w:t>benzo</w:t>
      </w:r>
      <w:proofErr w:type="spellEnd"/>
      <w:r w:rsidR="006F0CDD" w:rsidRPr="007B4DB9">
        <w:rPr>
          <w:rFonts w:ascii="Arial" w:hAnsi="Arial" w:cs="Arial"/>
        </w:rPr>
        <w:t>(a)</w:t>
      </w:r>
      <w:proofErr w:type="spellStart"/>
      <w:r w:rsidR="006F0CDD" w:rsidRPr="007B4DB9">
        <w:rPr>
          <w:rFonts w:ascii="Arial" w:hAnsi="Arial" w:cs="Arial"/>
        </w:rPr>
        <w:t>pirenem</w:t>
      </w:r>
      <w:proofErr w:type="spellEnd"/>
      <w:r w:rsidR="006F0CDD" w:rsidRPr="007B4DB9">
        <w:rPr>
          <w:rFonts w:ascii="Arial" w:hAnsi="Arial" w:cs="Arial"/>
        </w:rPr>
        <w:t xml:space="preserve"> klasa C została utrzymana.</w:t>
      </w:r>
    </w:p>
    <w:p w14:paraId="7704502B" w14:textId="77777777" w:rsidR="007B4DB9" w:rsidRPr="007B4DB9" w:rsidRDefault="007B4DB9" w:rsidP="006F0CDD">
      <w:pPr>
        <w:spacing w:after="0"/>
        <w:ind w:firstLine="708"/>
        <w:jc w:val="both"/>
        <w:rPr>
          <w:rFonts w:ascii="Arial" w:hAnsi="Arial" w:cs="Arial"/>
        </w:rPr>
      </w:pPr>
    </w:p>
    <w:p w14:paraId="3EF35CD0" w14:textId="01A8CF64" w:rsidR="006F0CDD" w:rsidRPr="007B4DB9" w:rsidRDefault="00737AE3" w:rsidP="007C14DA">
      <w:pPr>
        <w:spacing w:after="0"/>
        <w:ind w:firstLine="708"/>
        <w:jc w:val="both"/>
        <w:rPr>
          <w:rFonts w:ascii="Arial" w:hAnsi="Arial" w:cs="Arial"/>
        </w:rPr>
      </w:pPr>
      <w:r w:rsidRPr="007B4DB9">
        <w:rPr>
          <w:rFonts w:ascii="Arial" w:hAnsi="Arial" w:cs="Arial"/>
        </w:rPr>
        <w:t xml:space="preserve">Wyniki rocznych ocen jakości powietrza </w:t>
      </w:r>
      <w:r w:rsidR="00752F6E">
        <w:rPr>
          <w:rFonts w:ascii="Arial" w:hAnsi="Arial" w:cs="Arial"/>
        </w:rPr>
        <w:t>dla województwa lubelskiego</w:t>
      </w:r>
      <w:r w:rsidRPr="007B4DB9">
        <w:rPr>
          <w:rFonts w:ascii="Arial" w:hAnsi="Arial" w:cs="Arial"/>
        </w:rPr>
        <w:t xml:space="preserve"> wykazują, iż na niektórych obszarach województwa </w:t>
      </w:r>
      <w:r w:rsidR="00FB5B59" w:rsidRPr="007B4DB9">
        <w:rPr>
          <w:rFonts w:ascii="Arial" w:hAnsi="Arial" w:cs="Arial"/>
        </w:rPr>
        <w:t>lubel</w:t>
      </w:r>
      <w:r w:rsidRPr="007B4DB9">
        <w:rPr>
          <w:rFonts w:ascii="Arial" w:hAnsi="Arial" w:cs="Arial"/>
        </w:rPr>
        <w:t>skiego przekraczane były poziomy dopuszczalne pyłu PM10</w:t>
      </w:r>
      <w:r w:rsidR="00FB5B59" w:rsidRPr="007B4DB9">
        <w:rPr>
          <w:rFonts w:ascii="Arial" w:hAnsi="Arial" w:cs="Arial"/>
        </w:rPr>
        <w:t>, PM2,5</w:t>
      </w:r>
      <w:r w:rsidRPr="007B4DB9">
        <w:rPr>
          <w:rFonts w:ascii="Arial" w:hAnsi="Arial" w:cs="Arial"/>
        </w:rPr>
        <w:t xml:space="preserve"> i poziomy docelowe </w:t>
      </w:r>
      <w:proofErr w:type="spellStart"/>
      <w:r w:rsidRPr="007B4DB9">
        <w:rPr>
          <w:rFonts w:ascii="Arial" w:hAnsi="Arial" w:cs="Arial"/>
        </w:rPr>
        <w:t>benzo</w:t>
      </w:r>
      <w:proofErr w:type="spellEnd"/>
      <w:r w:rsidRPr="007B4DB9">
        <w:rPr>
          <w:rFonts w:ascii="Arial" w:hAnsi="Arial" w:cs="Arial"/>
        </w:rPr>
        <w:t>(a)</w:t>
      </w:r>
      <w:proofErr w:type="spellStart"/>
      <w:r w:rsidRPr="007B4DB9">
        <w:rPr>
          <w:rFonts w:ascii="Arial" w:hAnsi="Arial" w:cs="Arial"/>
        </w:rPr>
        <w:t>pirenu</w:t>
      </w:r>
      <w:proofErr w:type="spellEnd"/>
      <w:r w:rsidRPr="007B4DB9">
        <w:rPr>
          <w:rFonts w:ascii="Arial" w:hAnsi="Arial" w:cs="Arial"/>
        </w:rPr>
        <w:t xml:space="preserve">. Wyniki te stanowiły podstawę do uchwalenia przez Sejmik Województwa </w:t>
      </w:r>
      <w:r w:rsidR="00FB5B59" w:rsidRPr="007B4DB9">
        <w:rPr>
          <w:rFonts w:ascii="Arial" w:hAnsi="Arial" w:cs="Arial"/>
        </w:rPr>
        <w:t>Lubel</w:t>
      </w:r>
      <w:r w:rsidRPr="007B4DB9">
        <w:rPr>
          <w:rFonts w:ascii="Arial" w:hAnsi="Arial" w:cs="Arial"/>
        </w:rPr>
        <w:t xml:space="preserve">skiego </w:t>
      </w:r>
      <w:r w:rsidR="00B037E7">
        <w:rPr>
          <w:rFonts w:ascii="Arial" w:hAnsi="Arial" w:cs="Arial"/>
        </w:rPr>
        <w:t>P</w:t>
      </w:r>
      <w:r w:rsidRPr="007B4DB9">
        <w:rPr>
          <w:rFonts w:ascii="Arial" w:hAnsi="Arial" w:cs="Arial"/>
        </w:rPr>
        <w:t xml:space="preserve">rogramów ochrony powietrza. Aktualnie obowiązujące </w:t>
      </w:r>
      <w:r w:rsidR="00B037E7">
        <w:rPr>
          <w:rFonts w:ascii="Arial" w:hAnsi="Arial" w:cs="Arial"/>
        </w:rPr>
        <w:t>P</w:t>
      </w:r>
      <w:r w:rsidRPr="007B4DB9">
        <w:rPr>
          <w:rFonts w:ascii="Arial" w:hAnsi="Arial" w:cs="Arial"/>
        </w:rPr>
        <w:t xml:space="preserve">rogramy ochrony powietrza dla stref: </w:t>
      </w:r>
      <w:r w:rsidR="00FB5B59" w:rsidRPr="007B4DB9">
        <w:rPr>
          <w:rFonts w:ascii="Arial" w:hAnsi="Arial" w:cs="Arial"/>
        </w:rPr>
        <w:t>A</w:t>
      </w:r>
      <w:r w:rsidRPr="007B4DB9">
        <w:rPr>
          <w:rFonts w:ascii="Arial" w:hAnsi="Arial" w:cs="Arial"/>
        </w:rPr>
        <w:t xml:space="preserve">glomeracja </w:t>
      </w:r>
      <w:r w:rsidR="00FB5B59" w:rsidRPr="007B4DB9">
        <w:rPr>
          <w:rFonts w:ascii="Arial" w:hAnsi="Arial" w:cs="Arial"/>
        </w:rPr>
        <w:t>Lubelska oraz strefa lubelska</w:t>
      </w:r>
      <w:r w:rsidRPr="007B4DB9">
        <w:rPr>
          <w:rFonts w:ascii="Arial" w:hAnsi="Arial" w:cs="Arial"/>
        </w:rPr>
        <w:t xml:space="preserve"> przyjęto w dniu 27 l</w:t>
      </w:r>
      <w:r w:rsidR="00FB5B59" w:rsidRPr="007B4DB9">
        <w:rPr>
          <w:rFonts w:ascii="Arial" w:hAnsi="Arial" w:cs="Arial"/>
        </w:rPr>
        <w:t>ipca</w:t>
      </w:r>
      <w:r w:rsidRPr="007B4DB9">
        <w:rPr>
          <w:rFonts w:ascii="Arial" w:hAnsi="Arial" w:cs="Arial"/>
        </w:rPr>
        <w:t xml:space="preserve"> 20</w:t>
      </w:r>
      <w:r w:rsidR="00FB5B59" w:rsidRPr="007B4DB9">
        <w:rPr>
          <w:rFonts w:ascii="Arial" w:hAnsi="Arial" w:cs="Arial"/>
        </w:rPr>
        <w:t>20</w:t>
      </w:r>
      <w:r w:rsidRPr="007B4DB9">
        <w:rPr>
          <w:rFonts w:ascii="Arial" w:hAnsi="Arial" w:cs="Arial"/>
        </w:rPr>
        <w:t xml:space="preserve"> r. uchwałami Sejmiku Województwa </w:t>
      </w:r>
      <w:r w:rsidR="00FB5B59" w:rsidRPr="007B4DB9">
        <w:rPr>
          <w:rFonts w:ascii="Arial" w:hAnsi="Arial" w:cs="Arial"/>
        </w:rPr>
        <w:t>Lubel</w:t>
      </w:r>
      <w:r w:rsidRPr="007B4DB9">
        <w:rPr>
          <w:rFonts w:ascii="Arial" w:hAnsi="Arial" w:cs="Arial"/>
        </w:rPr>
        <w:t>skiego Nr</w:t>
      </w:r>
      <w:r w:rsidR="00B037E7">
        <w:rPr>
          <w:rFonts w:ascii="Arial" w:hAnsi="Arial" w:cs="Arial"/>
        </w:rPr>
        <w:t> </w:t>
      </w:r>
      <w:r w:rsidR="00FB5B59" w:rsidRPr="007B4DB9">
        <w:rPr>
          <w:rFonts w:ascii="Arial" w:eastAsia="Times New Roman" w:hAnsi="Arial" w:cs="Arial"/>
          <w:lang w:eastAsia="pl-PL"/>
        </w:rPr>
        <w:t>XVIII/291/20</w:t>
      </w:r>
      <w:r w:rsidRPr="007B4DB9">
        <w:rPr>
          <w:rFonts w:ascii="Arial" w:hAnsi="Arial" w:cs="Arial"/>
        </w:rPr>
        <w:t xml:space="preserve"> i </w:t>
      </w:r>
      <w:r w:rsidR="00FB5B59" w:rsidRPr="007B4DB9">
        <w:rPr>
          <w:rFonts w:ascii="Arial" w:eastAsia="Times New Roman" w:hAnsi="Arial" w:cs="Arial"/>
          <w:lang w:eastAsia="pl-PL"/>
        </w:rPr>
        <w:t>XVIII/292/20</w:t>
      </w:r>
      <w:r w:rsidRPr="007B4DB9">
        <w:rPr>
          <w:rFonts w:ascii="Arial" w:hAnsi="Arial" w:cs="Arial"/>
        </w:rPr>
        <w:t>.  Analizy wykonywane w ramach sporządzania rocznych ocen jakości powietrza oraz programów ochrony powietrza wskazują, iż główną przyczyną przekroczeń norm jakości powietrza dla pyłu zawieszonego PM10</w:t>
      </w:r>
      <w:r w:rsidR="00FB5B59" w:rsidRPr="007B4DB9">
        <w:rPr>
          <w:rFonts w:ascii="Arial" w:hAnsi="Arial" w:cs="Arial"/>
        </w:rPr>
        <w:t xml:space="preserve"> i PM2,5</w:t>
      </w:r>
      <w:r w:rsidRPr="007B4DB9">
        <w:rPr>
          <w:rFonts w:ascii="Arial" w:hAnsi="Arial" w:cs="Arial"/>
        </w:rPr>
        <w:t xml:space="preserve"> oraz </w:t>
      </w:r>
      <w:proofErr w:type="spellStart"/>
      <w:r w:rsidRPr="007B4DB9">
        <w:rPr>
          <w:rFonts w:ascii="Arial" w:hAnsi="Arial" w:cs="Arial"/>
        </w:rPr>
        <w:t>benzo</w:t>
      </w:r>
      <w:proofErr w:type="spellEnd"/>
      <w:r w:rsidRPr="007B4DB9">
        <w:rPr>
          <w:rFonts w:ascii="Arial" w:hAnsi="Arial" w:cs="Arial"/>
        </w:rPr>
        <w:t>(a)</w:t>
      </w:r>
      <w:proofErr w:type="spellStart"/>
      <w:r w:rsidRPr="007B4DB9">
        <w:rPr>
          <w:rFonts w:ascii="Arial" w:hAnsi="Arial" w:cs="Arial"/>
        </w:rPr>
        <w:t>pirenu</w:t>
      </w:r>
      <w:proofErr w:type="spellEnd"/>
      <w:r w:rsidRPr="007B4DB9">
        <w:rPr>
          <w:rFonts w:ascii="Arial" w:hAnsi="Arial" w:cs="Arial"/>
        </w:rPr>
        <w:t xml:space="preserve"> jest spalanie paliw w sektorze komunalno-bytowym. Wzrost poziomów zanieczyszczenia powietrza, w szczególności pył</w:t>
      </w:r>
      <w:r w:rsidR="00752F6E">
        <w:rPr>
          <w:rFonts w:ascii="Arial" w:hAnsi="Arial" w:cs="Arial"/>
        </w:rPr>
        <w:t>u</w:t>
      </w:r>
      <w:r w:rsidRPr="007B4DB9">
        <w:rPr>
          <w:rFonts w:ascii="Arial" w:hAnsi="Arial" w:cs="Arial"/>
        </w:rPr>
        <w:t xml:space="preserve"> zawieszon</w:t>
      </w:r>
      <w:r w:rsidR="00752F6E">
        <w:rPr>
          <w:rFonts w:ascii="Arial" w:hAnsi="Arial" w:cs="Arial"/>
        </w:rPr>
        <w:t>ego</w:t>
      </w:r>
      <w:r w:rsidRPr="007B4DB9">
        <w:rPr>
          <w:rFonts w:ascii="Arial" w:hAnsi="Arial" w:cs="Arial"/>
        </w:rPr>
        <w:t xml:space="preserve"> i </w:t>
      </w:r>
      <w:proofErr w:type="spellStart"/>
      <w:r w:rsidRPr="007B4DB9">
        <w:rPr>
          <w:rFonts w:ascii="Arial" w:hAnsi="Arial" w:cs="Arial"/>
        </w:rPr>
        <w:t>benzo</w:t>
      </w:r>
      <w:proofErr w:type="spellEnd"/>
      <w:r w:rsidRPr="007B4DB9">
        <w:rPr>
          <w:rFonts w:ascii="Arial" w:hAnsi="Arial" w:cs="Arial"/>
        </w:rPr>
        <w:t>(a)</w:t>
      </w:r>
      <w:proofErr w:type="spellStart"/>
      <w:r w:rsidRPr="007B4DB9">
        <w:rPr>
          <w:rFonts w:ascii="Arial" w:hAnsi="Arial" w:cs="Arial"/>
        </w:rPr>
        <w:t>piren</w:t>
      </w:r>
      <w:r w:rsidR="00752F6E">
        <w:rPr>
          <w:rFonts w:ascii="Arial" w:hAnsi="Arial" w:cs="Arial"/>
        </w:rPr>
        <w:t>u</w:t>
      </w:r>
      <w:proofErr w:type="spellEnd"/>
      <w:r w:rsidRPr="007B4DB9">
        <w:rPr>
          <w:rFonts w:ascii="Arial" w:hAnsi="Arial" w:cs="Arial"/>
        </w:rPr>
        <w:t xml:space="preserve"> obserwowany jest głównie w okresie grzewczym, przede wszystkim w dniach charakteryzujących się małą prędkością wiatru, niskimi temperaturami oraz występowaniem zjawiska inwersji termicznej.  Zgodnie z diagnozami zawartymi w powyższych dokumentach działania wskazywane w programach naprawczych koncentrują się na redukcji emisji z</w:t>
      </w:r>
      <w:r w:rsidR="00B037E7">
        <w:rPr>
          <w:rFonts w:ascii="Arial" w:hAnsi="Arial" w:cs="Arial"/>
        </w:rPr>
        <w:t> </w:t>
      </w:r>
      <w:r w:rsidRPr="007B4DB9">
        <w:rPr>
          <w:rFonts w:ascii="Arial" w:hAnsi="Arial" w:cs="Arial"/>
        </w:rPr>
        <w:t>ogrzewania indywidualnego. W programach ochrony powietrza wyznaczono obszary, w</w:t>
      </w:r>
      <w:r w:rsidR="00B037E7">
        <w:rPr>
          <w:rFonts w:ascii="Arial" w:hAnsi="Arial" w:cs="Arial"/>
        </w:rPr>
        <w:t> </w:t>
      </w:r>
      <w:r w:rsidRPr="007B4DB9">
        <w:rPr>
          <w:rFonts w:ascii="Arial" w:hAnsi="Arial" w:cs="Arial"/>
        </w:rPr>
        <w:t>których występują przekroczenia dobowych stężeń pyłu zawieszonego PM10 (</w:t>
      </w:r>
      <w:r w:rsidR="00461A55" w:rsidRPr="007B4DB9">
        <w:rPr>
          <w:rFonts w:ascii="Arial" w:hAnsi="Arial" w:cs="Arial"/>
        </w:rPr>
        <w:t>27</w:t>
      </w:r>
      <w:r w:rsidRPr="007B4DB9">
        <w:rPr>
          <w:rFonts w:ascii="Arial" w:hAnsi="Arial" w:cs="Arial"/>
        </w:rPr>
        <w:t xml:space="preserve"> obszar</w:t>
      </w:r>
      <w:r w:rsidR="00461A55" w:rsidRPr="007B4DB9">
        <w:rPr>
          <w:rFonts w:ascii="Arial" w:hAnsi="Arial" w:cs="Arial"/>
        </w:rPr>
        <w:t>ów</w:t>
      </w:r>
      <w:r w:rsidRPr="007B4DB9">
        <w:rPr>
          <w:rFonts w:ascii="Arial" w:hAnsi="Arial" w:cs="Arial"/>
        </w:rPr>
        <w:t xml:space="preserve"> w strefie </w:t>
      </w:r>
      <w:r w:rsidR="00461A55" w:rsidRPr="007B4DB9">
        <w:rPr>
          <w:rFonts w:ascii="Arial" w:hAnsi="Arial" w:cs="Arial"/>
        </w:rPr>
        <w:t>lubelskiej i 8 w strefie Aglomeracja Lubelska</w:t>
      </w:r>
      <w:r w:rsidRPr="007B4DB9">
        <w:rPr>
          <w:rFonts w:ascii="Arial" w:hAnsi="Arial" w:cs="Arial"/>
        </w:rPr>
        <w:t>)</w:t>
      </w:r>
      <w:r w:rsidR="00461A55" w:rsidRPr="007B4DB9">
        <w:rPr>
          <w:rFonts w:ascii="Arial" w:hAnsi="Arial" w:cs="Arial"/>
        </w:rPr>
        <w:t>, dobowych stężeń pyłu zawieszonego PM2,5</w:t>
      </w:r>
      <w:r w:rsidRPr="007B4DB9">
        <w:rPr>
          <w:rFonts w:ascii="Arial" w:hAnsi="Arial" w:cs="Arial"/>
        </w:rPr>
        <w:t xml:space="preserve"> </w:t>
      </w:r>
      <w:r w:rsidR="00461A55" w:rsidRPr="007B4DB9">
        <w:rPr>
          <w:rFonts w:ascii="Arial" w:hAnsi="Arial" w:cs="Arial"/>
        </w:rPr>
        <w:t xml:space="preserve">(18 obszarów w strefie lubelskiej i 1 w strefie Aglomeracja Lubelska) </w:t>
      </w:r>
      <w:r w:rsidRPr="007B4DB9">
        <w:rPr>
          <w:rFonts w:ascii="Arial" w:hAnsi="Arial" w:cs="Arial"/>
        </w:rPr>
        <w:t xml:space="preserve">oraz średniorocznych stężeń </w:t>
      </w:r>
      <w:proofErr w:type="spellStart"/>
      <w:r w:rsidRPr="007B4DB9">
        <w:rPr>
          <w:rFonts w:ascii="Arial" w:hAnsi="Arial" w:cs="Arial"/>
        </w:rPr>
        <w:t>benzo</w:t>
      </w:r>
      <w:proofErr w:type="spellEnd"/>
      <w:r w:rsidRPr="007B4DB9">
        <w:rPr>
          <w:rFonts w:ascii="Arial" w:hAnsi="Arial" w:cs="Arial"/>
        </w:rPr>
        <w:t>(a)</w:t>
      </w:r>
      <w:proofErr w:type="spellStart"/>
      <w:r w:rsidRPr="007B4DB9">
        <w:rPr>
          <w:rFonts w:ascii="Arial" w:hAnsi="Arial" w:cs="Arial"/>
        </w:rPr>
        <w:t>pirenu</w:t>
      </w:r>
      <w:proofErr w:type="spellEnd"/>
      <w:r w:rsidRPr="007B4DB9">
        <w:rPr>
          <w:rFonts w:ascii="Arial" w:hAnsi="Arial" w:cs="Arial"/>
        </w:rPr>
        <w:t xml:space="preserve"> </w:t>
      </w:r>
      <w:r w:rsidR="00461A55" w:rsidRPr="007B4DB9">
        <w:rPr>
          <w:rFonts w:ascii="Arial" w:hAnsi="Arial" w:cs="Arial"/>
        </w:rPr>
        <w:t>(193 obszarów w strefie lubelskiej i 26 w strefie Aglomeracja Lubelska)</w:t>
      </w:r>
      <w:r w:rsidRPr="007B4DB9">
        <w:rPr>
          <w:rFonts w:ascii="Arial" w:hAnsi="Arial" w:cs="Arial"/>
        </w:rPr>
        <w:t xml:space="preserve">. Określone w programach działania naprawcze zakładają konieczność obniżenia emisji powierzchniowej pyłu zawieszonego PM10 w obszarze przekroczeń o </w:t>
      </w:r>
      <w:r w:rsidR="00DF744A" w:rsidRPr="007B4DB9">
        <w:rPr>
          <w:rFonts w:ascii="Arial" w:hAnsi="Arial" w:cs="Arial"/>
        </w:rPr>
        <w:t xml:space="preserve">ok. </w:t>
      </w:r>
      <w:r w:rsidR="00DF744A" w:rsidRPr="007B4DB9">
        <w:rPr>
          <w:rFonts w:ascii="Arial" w:hAnsi="Arial" w:cs="Arial"/>
        </w:rPr>
        <w:lastRenderedPageBreak/>
        <w:t>23</w:t>
      </w:r>
      <w:r w:rsidRPr="007B4DB9">
        <w:rPr>
          <w:rFonts w:ascii="Arial" w:hAnsi="Arial" w:cs="Arial"/>
        </w:rPr>
        <w:t xml:space="preserve">%. W przypadku </w:t>
      </w:r>
      <w:proofErr w:type="spellStart"/>
      <w:r w:rsidRPr="007B4DB9">
        <w:rPr>
          <w:rFonts w:ascii="Arial" w:hAnsi="Arial" w:cs="Arial"/>
        </w:rPr>
        <w:t>benzo</w:t>
      </w:r>
      <w:proofErr w:type="spellEnd"/>
      <w:r w:rsidRPr="007B4DB9">
        <w:rPr>
          <w:rFonts w:ascii="Arial" w:hAnsi="Arial" w:cs="Arial"/>
        </w:rPr>
        <w:t>(a)</w:t>
      </w:r>
      <w:proofErr w:type="spellStart"/>
      <w:r w:rsidRPr="007B4DB9">
        <w:rPr>
          <w:rFonts w:ascii="Arial" w:hAnsi="Arial" w:cs="Arial"/>
        </w:rPr>
        <w:t>pirenu</w:t>
      </w:r>
      <w:proofErr w:type="spellEnd"/>
      <w:r w:rsidRPr="007B4DB9">
        <w:rPr>
          <w:rFonts w:ascii="Arial" w:hAnsi="Arial" w:cs="Arial"/>
        </w:rPr>
        <w:t xml:space="preserve"> działania naprawcze wskazane w dokumentach programowych wskazują na konieczność obniżenia emisji powierzchniowej w obszarach przekroczeń o </w:t>
      </w:r>
      <w:r w:rsidR="00DF744A" w:rsidRPr="007B4DB9">
        <w:rPr>
          <w:rFonts w:ascii="Arial" w:hAnsi="Arial" w:cs="Arial"/>
        </w:rPr>
        <w:t>85</w:t>
      </w:r>
      <w:r w:rsidRPr="007B4DB9">
        <w:rPr>
          <w:rFonts w:ascii="Arial" w:hAnsi="Arial" w:cs="Arial"/>
        </w:rPr>
        <w:t>%</w:t>
      </w:r>
      <w:r w:rsidR="00DF744A" w:rsidRPr="007B4DB9">
        <w:rPr>
          <w:rFonts w:ascii="Arial" w:hAnsi="Arial" w:cs="Arial"/>
        </w:rPr>
        <w:t>.</w:t>
      </w:r>
      <w:r w:rsidRPr="007B4DB9">
        <w:rPr>
          <w:rFonts w:ascii="Arial" w:hAnsi="Arial" w:cs="Arial"/>
        </w:rPr>
        <w:t xml:space="preserve"> </w:t>
      </w:r>
    </w:p>
    <w:p w14:paraId="0F03CA40" w14:textId="77777777" w:rsidR="00DF744A" w:rsidRPr="007C14DA" w:rsidRDefault="00DF744A" w:rsidP="007C14DA">
      <w:pPr>
        <w:spacing w:after="0"/>
        <w:ind w:firstLine="708"/>
        <w:jc w:val="both"/>
        <w:rPr>
          <w:rFonts w:ascii="Arial" w:hAnsi="Arial" w:cs="Arial"/>
        </w:rPr>
      </w:pPr>
    </w:p>
    <w:p w14:paraId="73E0B651" w14:textId="48247892" w:rsidR="00517544" w:rsidRPr="00456AB8" w:rsidRDefault="00983204" w:rsidP="00456AB8">
      <w:pPr>
        <w:spacing w:after="0"/>
        <w:ind w:firstLine="709"/>
        <w:jc w:val="both"/>
        <w:rPr>
          <w:rFonts w:ascii="Arial" w:hAnsi="Arial" w:cs="Arial"/>
          <w:iCs/>
        </w:rPr>
      </w:pPr>
      <w:r w:rsidRPr="007C14DA">
        <w:rPr>
          <w:rFonts w:ascii="Arial" w:hAnsi="Arial" w:cs="Arial"/>
        </w:rPr>
        <w:t>Wynikiem wielu</w:t>
      </w:r>
      <w:r w:rsidR="00FA58A6" w:rsidRPr="007C14DA">
        <w:rPr>
          <w:rFonts w:ascii="Arial" w:hAnsi="Arial" w:cs="Arial"/>
        </w:rPr>
        <w:t xml:space="preserve"> badań naukowych</w:t>
      </w:r>
      <w:r w:rsidR="00DC5D87" w:rsidRPr="007C14DA">
        <w:rPr>
          <w:rFonts w:ascii="Arial" w:hAnsi="Arial" w:cs="Arial"/>
        </w:rPr>
        <w:t xml:space="preserve"> </w:t>
      </w:r>
      <w:r w:rsidRPr="007C14DA">
        <w:rPr>
          <w:rFonts w:ascii="Arial" w:hAnsi="Arial" w:cs="Arial"/>
        </w:rPr>
        <w:t xml:space="preserve">jest </w:t>
      </w:r>
      <w:r w:rsidR="00FA58A6" w:rsidRPr="007C14DA">
        <w:rPr>
          <w:rFonts w:ascii="Arial" w:hAnsi="Arial" w:cs="Arial"/>
        </w:rPr>
        <w:t>potwierdz</w:t>
      </w:r>
      <w:r w:rsidRPr="007C14DA">
        <w:rPr>
          <w:rFonts w:ascii="Arial" w:hAnsi="Arial" w:cs="Arial"/>
        </w:rPr>
        <w:t>enie</w:t>
      </w:r>
      <w:r w:rsidR="00DC5D87" w:rsidRPr="007C14DA">
        <w:rPr>
          <w:rFonts w:ascii="Arial" w:hAnsi="Arial" w:cs="Arial"/>
        </w:rPr>
        <w:t>,</w:t>
      </w:r>
      <w:r w:rsidR="00FA58A6" w:rsidRPr="007C14DA">
        <w:rPr>
          <w:rFonts w:ascii="Arial" w:hAnsi="Arial" w:cs="Arial"/>
        </w:rPr>
        <w:t xml:space="preserve"> </w:t>
      </w:r>
      <w:r w:rsidRPr="007C14DA">
        <w:rPr>
          <w:rFonts w:ascii="Arial" w:hAnsi="Arial" w:cs="Arial"/>
        </w:rPr>
        <w:t>ż</w:t>
      </w:r>
      <w:r w:rsidR="00FA58A6" w:rsidRPr="007C14DA">
        <w:rPr>
          <w:rFonts w:ascii="Arial" w:hAnsi="Arial" w:cs="Arial"/>
        </w:rPr>
        <w:t xml:space="preserve">e zarówno długoterminowe jaki i krótkotrwałe narażenie na zanieczyszczenie pyłami zawieszonymi prowadzi do przedwczesnych zgonów, </w:t>
      </w:r>
      <w:r w:rsidRPr="007C14DA">
        <w:rPr>
          <w:rFonts w:ascii="Arial" w:hAnsi="Arial" w:cs="Arial"/>
        </w:rPr>
        <w:t>schorzeń</w:t>
      </w:r>
      <w:r w:rsidR="00FA58A6" w:rsidRPr="007C14DA">
        <w:rPr>
          <w:rFonts w:ascii="Arial" w:hAnsi="Arial" w:cs="Arial"/>
        </w:rPr>
        <w:t xml:space="preserve"> układu krążenia i układu oddechowego</w:t>
      </w:r>
      <w:r w:rsidR="002631EF" w:rsidRPr="007C14DA">
        <w:rPr>
          <w:rFonts w:ascii="Arial" w:hAnsi="Arial" w:cs="Arial"/>
        </w:rPr>
        <w:t>,</w:t>
      </w:r>
      <w:r w:rsidRPr="007C14DA">
        <w:rPr>
          <w:rFonts w:ascii="Arial" w:hAnsi="Arial" w:cs="Arial"/>
        </w:rPr>
        <w:t xml:space="preserve"> </w:t>
      </w:r>
      <w:r w:rsidR="00FA58A6" w:rsidRPr="007C14DA">
        <w:rPr>
          <w:rFonts w:ascii="Arial" w:hAnsi="Arial" w:cs="Arial"/>
        </w:rPr>
        <w:t xml:space="preserve">w tym zwiększonej liczby </w:t>
      </w:r>
      <w:r w:rsidR="002631EF" w:rsidRPr="007C14DA">
        <w:rPr>
          <w:rFonts w:ascii="Arial" w:hAnsi="Arial" w:cs="Arial"/>
        </w:rPr>
        <w:t>hospitalizacji</w:t>
      </w:r>
      <w:r w:rsidR="00FA58A6" w:rsidRPr="007C14DA">
        <w:rPr>
          <w:rFonts w:ascii="Arial" w:hAnsi="Arial" w:cs="Arial"/>
        </w:rPr>
        <w:t xml:space="preserve"> oraz przyjęć na oddziałach ratunkowych w wyniku zawału serca oraz udaru mózgu. </w:t>
      </w:r>
      <w:r w:rsidR="002631EF" w:rsidRPr="007C14DA">
        <w:rPr>
          <w:rStyle w:val="Uwydatnienie"/>
          <w:rFonts w:ascii="Arial" w:hAnsi="Arial" w:cs="Arial"/>
          <w:i w:val="0"/>
        </w:rPr>
        <w:t>Poza tym pyły są szkodliwe dla roślin (zatykanie aparatów szparkowych utrudniających fotosyntezę) oraz poprzez osiadanie na powierzchni gleb i wód powodują ich zanieczyszczenie, zakwaszenie itp.</w:t>
      </w:r>
      <w:r w:rsidR="00456AB8">
        <w:rPr>
          <w:rStyle w:val="Uwydatnienie"/>
          <w:rFonts w:ascii="Arial" w:hAnsi="Arial" w:cs="Arial"/>
          <w:i w:val="0"/>
        </w:rPr>
        <w:t xml:space="preserve"> </w:t>
      </w:r>
      <w:proofErr w:type="spellStart"/>
      <w:r w:rsidR="00456AB8">
        <w:rPr>
          <w:rFonts w:ascii="Arial" w:hAnsi="Arial" w:cs="Arial"/>
        </w:rPr>
        <w:t>B</w:t>
      </w:r>
      <w:r w:rsidR="002631EF" w:rsidRPr="007C14DA">
        <w:rPr>
          <w:rFonts w:ascii="Arial" w:hAnsi="Arial" w:cs="Arial"/>
        </w:rPr>
        <w:t>enzo</w:t>
      </w:r>
      <w:proofErr w:type="spellEnd"/>
      <w:r w:rsidR="002631EF" w:rsidRPr="007C14DA">
        <w:rPr>
          <w:rFonts w:ascii="Arial" w:hAnsi="Arial" w:cs="Arial"/>
        </w:rPr>
        <w:t>(a)</w:t>
      </w:r>
      <w:proofErr w:type="spellStart"/>
      <w:r w:rsidR="002631EF" w:rsidRPr="007C14DA">
        <w:rPr>
          <w:rFonts w:ascii="Arial" w:hAnsi="Arial" w:cs="Arial"/>
        </w:rPr>
        <w:t>piren</w:t>
      </w:r>
      <w:proofErr w:type="spellEnd"/>
      <w:r w:rsidR="002631EF" w:rsidRPr="007C14DA">
        <w:rPr>
          <w:rFonts w:ascii="Arial" w:hAnsi="Arial" w:cs="Arial"/>
        </w:rPr>
        <w:t xml:space="preserve"> </w:t>
      </w:r>
      <w:r w:rsidR="00456AB8">
        <w:rPr>
          <w:rStyle w:val="Uwydatnienie"/>
          <w:rFonts w:ascii="Arial" w:hAnsi="Arial" w:cs="Arial"/>
          <w:i w:val="0"/>
        </w:rPr>
        <w:t>n</w:t>
      </w:r>
      <w:r w:rsidR="002631EF" w:rsidRPr="00456AB8">
        <w:rPr>
          <w:rStyle w:val="Uwydatnienie"/>
          <w:rFonts w:ascii="Arial" w:hAnsi="Arial" w:cs="Arial"/>
          <w:i w:val="0"/>
        </w:rPr>
        <w:t xml:space="preserve">atomiast </w:t>
      </w:r>
      <w:r w:rsidR="002631EF" w:rsidRPr="007C14DA">
        <w:rPr>
          <w:rStyle w:val="Uwydatnienie"/>
          <w:rFonts w:ascii="Arial" w:hAnsi="Arial" w:cs="Arial"/>
          <w:i w:val="0"/>
        </w:rPr>
        <w:t>jest kancerogenem chemicznym</w:t>
      </w:r>
      <w:r w:rsidR="00456AB8">
        <w:rPr>
          <w:rStyle w:val="Uwydatnienie"/>
          <w:rFonts w:ascii="Arial" w:hAnsi="Arial" w:cs="Arial"/>
          <w:i w:val="0"/>
        </w:rPr>
        <w:t xml:space="preserve"> i </w:t>
      </w:r>
      <w:r w:rsidR="002631EF" w:rsidRPr="007C14DA">
        <w:rPr>
          <w:rStyle w:val="Uwydatnienie"/>
          <w:rFonts w:ascii="Arial" w:hAnsi="Arial" w:cs="Arial"/>
          <w:i w:val="0"/>
        </w:rPr>
        <w:t xml:space="preserve">wykazuje toksyczność układową powodując uszkodzenie nadnerczy, układu chłonnego, krwiotwórczego i oddechowego. </w:t>
      </w:r>
      <w:r w:rsidR="00456AB8">
        <w:rPr>
          <w:rStyle w:val="Uwydatnienie"/>
          <w:rFonts w:ascii="Arial" w:hAnsi="Arial" w:cs="Arial"/>
          <w:i w:val="0"/>
        </w:rPr>
        <w:t xml:space="preserve">Działa </w:t>
      </w:r>
      <w:r w:rsidR="002631EF" w:rsidRPr="007C14DA">
        <w:rPr>
          <w:rStyle w:val="Uwydatnienie"/>
          <w:rFonts w:ascii="Arial" w:hAnsi="Arial" w:cs="Arial"/>
          <w:i w:val="0"/>
        </w:rPr>
        <w:t>rakotwórcz</w:t>
      </w:r>
      <w:r w:rsidR="00456AB8">
        <w:rPr>
          <w:rStyle w:val="Uwydatnienie"/>
          <w:rFonts w:ascii="Arial" w:hAnsi="Arial" w:cs="Arial"/>
          <w:i w:val="0"/>
        </w:rPr>
        <w:t>o,</w:t>
      </w:r>
      <w:r w:rsidR="002631EF" w:rsidRPr="007C14DA">
        <w:rPr>
          <w:rStyle w:val="Uwydatnienie"/>
          <w:rFonts w:ascii="Arial" w:hAnsi="Arial" w:cs="Arial"/>
          <w:i w:val="0"/>
        </w:rPr>
        <w:t xml:space="preserve"> mutagen</w:t>
      </w:r>
      <w:r w:rsidR="00456AB8">
        <w:rPr>
          <w:rStyle w:val="Uwydatnienie"/>
          <w:rFonts w:ascii="Arial" w:hAnsi="Arial" w:cs="Arial"/>
          <w:i w:val="0"/>
        </w:rPr>
        <w:t xml:space="preserve">nie oraz wpływa </w:t>
      </w:r>
      <w:r w:rsidR="002631EF" w:rsidRPr="007C14DA">
        <w:rPr>
          <w:rStyle w:val="Uwydatnienie"/>
          <w:rFonts w:ascii="Arial" w:hAnsi="Arial" w:cs="Arial"/>
          <w:i w:val="0"/>
        </w:rPr>
        <w:t>na rozrodczość (może powodować dziedziczne wady genetyczne, upośledzać płodność, działać szkodliwie na dziecko w łonie matki)</w:t>
      </w:r>
      <w:r w:rsidR="002631EF" w:rsidRPr="007C14DA">
        <w:rPr>
          <w:rFonts w:ascii="Arial" w:hAnsi="Arial" w:cs="Arial"/>
        </w:rPr>
        <w:t>.</w:t>
      </w:r>
    </w:p>
    <w:p w14:paraId="386F025C" w14:textId="172BB56D" w:rsidR="00172C47" w:rsidRPr="007C14DA" w:rsidRDefault="00172C47" w:rsidP="007C14DA">
      <w:pPr>
        <w:tabs>
          <w:tab w:val="left" w:pos="709"/>
        </w:tabs>
        <w:spacing w:after="0"/>
        <w:ind w:left="-60" w:right="-2"/>
        <w:jc w:val="both"/>
        <w:rPr>
          <w:rFonts w:ascii="Arial" w:hAnsi="Arial" w:cs="Arial"/>
        </w:rPr>
      </w:pPr>
      <w:r w:rsidRPr="007C14DA">
        <w:rPr>
          <w:rFonts w:ascii="Arial" w:hAnsi="Arial" w:cs="Arial"/>
        </w:rPr>
        <w:t>Najbardziej narażone na zwiększone ryzyko zdrowotne związane z ekspozycją na cząstki drobne i cząstki o większej średnicy są osoby ze schorzeniami układu sercowo-naczyniowego</w:t>
      </w:r>
      <w:r w:rsidR="00200AC6" w:rsidRPr="007C14DA">
        <w:rPr>
          <w:rFonts w:ascii="Arial" w:hAnsi="Arial" w:cs="Arial"/>
        </w:rPr>
        <w:t xml:space="preserve"> i oddechowego, osoby w podeszłym wieku, dzieci oraz osoby uboższe.</w:t>
      </w:r>
    </w:p>
    <w:p w14:paraId="7104B00F" w14:textId="5BE32BFB" w:rsidR="007C14DA" w:rsidRDefault="007C14DA" w:rsidP="007C14DA">
      <w:pPr>
        <w:tabs>
          <w:tab w:val="left" w:pos="709"/>
        </w:tabs>
        <w:spacing w:after="0"/>
        <w:ind w:left="-60" w:right="-2"/>
        <w:jc w:val="both"/>
        <w:rPr>
          <w:rFonts w:ascii="Arial" w:hAnsi="Arial" w:cs="Arial"/>
        </w:rPr>
      </w:pPr>
    </w:p>
    <w:p w14:paraId="351B11D4" w14:textId="70A5BE17" w:rsidR="007C14DA" w:rsidRDefault="00ED3925" w:rsidP="007C14DA">
      <w:pPr>
        <w:tabs>
          <w:tab w:val="left" w:pos="709"/>
        </w:tabs>
        <w:spacing w:after="0"/>
        <w:ind w:left="-60" w:right="-2"/>
        <w:jc w:val="both"/>
        <w:rPr>
          <w:rFonts w:ascii="Arial" w:hAnsi="Arial" w:cs="Arial"/>
        </w:rPr>
      </w:pPr>
      <w:r>
        <w:rPr>
          <w:rFonts w:ascii="Arial" w:hAnsi="Arial" w:cs="Arial"/>
        </w:rPr>
        <w:tab/>
      </w:r>
      <w:r w:rsidR="007C14DA">
        <w:rPr>
          <w:rFonts w:ascii="Arial" w:hAnsi="Arial" w:cs="Arial"/>
        </w:rPr>
        <w:t xml:space="preserve">Mając powyższe na uwadze oraz kierując się zasadą szeroko rozumianej przezorności </w:t>
      </w:r>
      <w:r>
        <w:rPr>
          <w:rFonts w:ascii="Arial" w:hAnsi="Arial" w:cs="Arial"/>
        </w:rPr>
        <w:t>Zarząd</w:t>
      </w:r>
      <w:r w:rsidR="007C14DA">
        <w:rPr>
          <w:rFonts w:ascii="Arial" w:hAnsi="Arial" w:cs="Arial"/>
        </w:rPr>
        <w:t xml:space="preserve"> Województwa Lubelskiego podjął decyzję o konieczności przygotowania</w:t>
      </w:r>
      <w:r w:rsidR="00CB1F03">
        <w:rPr>
          <w:rFonts w:ascii="Arial" w:hAnsi="Arial" w:cs="Arial"/>
        </w:rPr>
        <w:t xml:space="preserve"> projektu tzw. uchwały antysmogowej. Przyjęcie przez Sejmik Województwa Lubelskiego ograniczeń i</w:t>
      </w:r>
      <w:r w:rsidR="00B037E7">
        <w:rPr>
          <w:rFonts w:ascii="Arial" w:hAnsi="Arial" w:cs="Arial"/>
        </w:rPr>
        <w:t> </w:t>
      </w:r>
      <w:r w:rsidR="00CB1F03">
        <w:rPr>
          <w:rFonts w:ascii="Arial" w:hAnsi="Arial" w:cs="Arial"/>
        </w:rPr>
        <w:t xml:space="preserve">zakazów określonych w projekcie uchwały może ponadto przyczynić się do utrzymania tendencji systematycznej poprawy </w:t>
      </w:r>
      <w:r>
        <w:rPr>
          <w:rFonts w:ascii="Arial" w:hAnsi="Arial" w:cs="Arial"/>
        </w:rPr>
        <w:t>stanu</w:t>
      </w:r>
      <w:r w:rsidR="00CB1F03">
        <w:rPr>
          <w:rFonts w:ascii="Arial" w:hAnsi="Arial" w:cs="Arial"/>
        </w:rPr>
        <w:t xml:space="preserve"> jakości powietrza w województwie.</w:t>
      </w:r>
    </w:p>
    <w:p w14:paraId="3C8BC163" w14:textId="5886B7E6" w:rsidR="00CB1F03" w:rsidRDefault="00CB1F03" w:rsidP="007C14DA">
      <w:pPr>
        <w:tabs>
          <w:tab w:val="left" w:pos="709"/>
        </w:tabs>
        <w:spacing w:after="0"/>
        <w:ind w:left="-60" w:right="-2"/>
        <w:jc w:val="both"/>
        <w:rPr>
          <w:rFonts w:ascii="Arial" w:hAnsi="Arial" w:cs="Arial"/>
        </w:rPr>
      </w:pPr>
    </w:p>
    <w:p w14:paraId="5AD75643" w14:textId="724A7973" w:rsidR="008C5B1E" w:rsidRDefault="00CB1F03" w:rsidP="008C5B1E">
      <w:pPr>
        <w:tabs>
          <w:tab w:val="left" w:pos="709"/>
        </w:tabs>
        <w:spacing w:after="0"/>
        <w:ind w:left="-60" w:right="-2"/>
        <w:jc w:val="both"/>
        <w:rPr>
          <w:rFonts w:ascii="Arial" w:hAnsi="Arial" w:cs="Arial"/>
          <w:u w:val="single"/>
        </w:rPr>
      </w:pPr>
      <w:r w:rsidRPr="008C5B1E">
        <w:rPr>
          <w:rFonts w:ascii="Arial" w:hAnsi="Arial" w:cs="Arial"/>
          <w:u w:val="single"/>
        </w:rPr>
        <w:t xml:space="preserve">Zgodnie z art. 96 ustawy – Prawo ochrony środowiska </w:t>
      </w:r>
      <w:r w:rsidR="00B037E7">
        <w:rPr>
          <w:rFonts w:ascii="Arial" w:hAnsi="Arial" w:cs="Arial"/>
          <w:u w:val="single"/>
        </w:rPr>
        <w:t>u</w:t>
      </w:r>
      <w:r w:rsidRPr="008C5B1E">
        <w:rPr>
          <w:rFonts w:ascii="Arial" w:hAnsi="Arial" w:cs="Arial"/>
          <w:u w:val="single"/>
        </w:rPr>
        <w:t>chwała określa:</w:t>
      </w:r>
    </w:p>
    <w:p w14:paraId="7FD0C585" w14:textId="77777777" w:rsidR="008C5B1E" w:rsidRPr="008C5B1E" w:rsidRDefault="008C5B1E" w:rsidP="00340DAD">
      <w:pPr>
        <w:tabs>
          <w:tab w:val="left" w:pos="709"/>
        </w:tabs>
        <w:spacing w:after="0"/>
        <w:ind w:right="-2"/>
        <w:jc w:val="both"/>
        <w:rPr>
          <w:rFonts w:ascii="Arial" w:hAnsi="Arial" w:cs="Arial"/>
          <w:u w:val="single"/>
        </w:rPr>
      </w:pPr>
    </w:p>
    <w:p w14:paraId="55094B50" w14:textId="4915B247" w:rsidR="008C5B1E" w:rsidRPr="00340DAD" w:rsidRDefault="008C5B1E" w:rsidP="00340DAD">
      <w:pPr>
        <w:tabs>
          <w:tab w:val="left" w:pos="709"/>
        </w:tabs>
        <w:ind w:right="-2"/>
        <w:jc w:val="both"/>
        <w:rPr>
          <w:rFonts w:ascii="Arial" w:hAnsi="Arial" w:cs="Arial"/>
        </w:rPr>
      </w:pPr>
      <w:r>
        <w:rPr>
          <w:rFonts w:ascii="Arial" w:hAnsi="Arial" w:cs="Arial"/>
        </w:rPr>
        <w:tab/>
      </w:r>
      <w:r w:rsidR="008933CD" w:rsidRPr="008C5B1E">
        <w:rPr>
          <w:rFonts w:ascii="Arial" w:hAnsi="Arial" w:cs="Arial"/>
        </w:rPr>
        <w:t>Zgodnie z art. 96 ust</w:t>
      </w:r>
      <w:r w:rsidR="00B037E7">
        <w:rPr>
          <w:rFonts w:ascii="Arial" w:hAnsi="Arial" w:cs="Arial"/>
        </w:rPr>
        <w:t>.</w:t>
      </w:r>
      <w:r w:rsidR="008933CD" w:rsidRPr="008C5B1E">
        <w:rPr>
          <w:rFonts w:ascii="Arial" w:hAnsi="Arial" w:cs="Arial"/>
        </w:rPr>
        <w:t xml:space="preserve"> 6 pkt 1 </w:t>
      </w:r>
      <w:r w:rsidR="008A3AEE" w:rsidRPr="008C5B1E">
        <w:rPr>
          <w:rFonts w:ascii="Arial" w:hAnsi="Arial" w:cs="Arial"/>
        </w:rPr>
        <w:t xml:space="preserve"> </w:t>
      </w:r>
      <w:r w:rsidR="008933CD" w:rsidRPr="008C5B1E">
        <w:rPr>
          <w:rFonts w:ascii="Arial" w:hAnsi="Arial" w:cs="Arial"/>
        </w:rPr>
        <w:t xml:space="preserve">zasięg terytorialny obejmuje </w:t>
      </w:r>
      <w:r w:rsidR="00CB1F03" w:rsidRPr="008C5B1E">
        <w:rPr>
          <w:rFonts w:ascii="Arial" w:hAnsi="Arial" w:cs="Arial"/>
        </w:rPr>
        <w:t>cał</w:t>
      </w:r>
      <w:r w:rsidR="008933CD" w:rsidRPr="008C5B1E">
        <w:rPr>
          <w:rFonts w:ascii="Arial" w:hAnsi="Arial" w:cs="Arial"/>
        </w:rPr>
        <w:t>y</w:t>
      </w:r>
      <w:r w:rsidR="00CB1F03" w:rsidRPr="008C5B1E">
        <w:rPr>
          <w:rFonts w:ascii="Arial" w:hAnsi="Arial" w:cs="Arial"/>
        </w:rPr>
        <w:t xml:space="preserve"> obszar </w:t>
      </w:r>
      <w:r w:rsidR="00ED3925" w:rsidRPr="008C5B1E">
        <w:rPr>
          <w:rFonts w:ascii="Arial" w:hAnsi="Arial" w:cs="Arial"/>
        </w:rPr>
        <w:t>województwa</w:t>
      </w:r>
      <w:r w:rsidR="008933CD" w:rsidRPr="008C5B1E">
        <w:rPr>
          <w:rFonts w:ascii="Arial" w:hAnsi="Arial" w:cs="Arial"/>
        </w:rPr>
        <w:t>, gdzie</w:t>
      </w:r>
      <w:r w:rsidR="00ED3925" w:rsidRPr="008C5B1E">
        <w:rPr>
          <w:rFonts w:ascii="Arial" w:hAnsi="Arial" w:cs="Arial"/>
        </w:rPr>
        <w:t xml:space="preserve"> </w:t>
      </w:r>
      <w:r w:rsidR="00CB1F03" w:rsidRPr="008C5B1E">
        <w:rPr>
          <w:rFonts w:ascii="Arial" w:hAnsi="Arial" w:cs="Arial"/>
        </w:rPr>
        <w:t>w</w:t>
      </w:r>
      <w:r w:rsidR="00ED3925" w:rsidRPr="008C5B1E">
        <w:rPr>
          <w:rFonts w:ascii="Arial" w:hAnsi="Arial" w:cs="Arial"/>
        </w:rPr>
        <w:t>p</w:t>
      </w:r>
      <w:r w:rsidR="00CB1F03" w:rsidRPr="008C5B1E">
        <w:rPr>
          <w:rFonts w:ascii="Arial" w:hAnsi="Arial" w:cs="Arial"/>
        </w:rPr>
        <w:t xml:space="preserve">rowadza się jednakowe regulacje wyznaczające wymagania dla instalacji i paliw dopuszczonych do stosowania. </w:t>
      </w:r>
      <w:r w:rsidR="00CB1F03" w:rsidRPr="008C5B1E">
        <w:rPr>
          <w:rFonts w:ascii="Arial" w:eastAsia="Arial" w:hAnsi="Arial" w:cs="Arial"/>
        </w:rPr>
        <w:t>Wprowadzenie jedynie punktowych regulacji dla części gmin lub wyłączenie części województwa z niniejszej uchwały doprowadziłoby do braku skuteczności regulacji. Zwłaszcza, że na poziom jakości powietrza wpływa nie tylko lokalna emisja zanieczyszczeń, ale też ich napływ ze źródeł zlokalizowanych w obszarach sąsiadujących.</w:t>
      </w:r>
    </w:p>
    <w:p w14:paraId="4B92966F" w14:textId="46D319F7" w:rsidR="00752F6E" w:rsidRDefault="00477EE2" w:rsidP="00B037E7">
      <w:pPr>
        <w:spacing w:after="0"/>
        <w:ind w:firstLine="709"/>
        <w:jc w:val="both"/>
        <w:rPr>
          <w:rFonts w:ascii="Arial" w:hAnsi="Arial" w:cs="Arial"/>
        </w:rPr>
      </w:pPr>
      <w:r w:rsidRPr="00A32294">
        <w:rPr>
          <w:rFonts w:ascii="Arial" w:hAnsi="Arial" w:cs="Arial"/>
        </w:rPr>
        <w:t xml:space="preserve">Stosownie do art. 96 ust. 6 pkt. 2 </w:t>
      </w:r>
      <w:r w:rsidR="00031E7B" w:rsidRPr="008A3AEE">
        <w:rPr>
          <w:rFonts w:ascii="Arial" w:hAnsi="Arial" w:cs="Arial"/>
        </w:rPr>
        <w:t>ustawy P</w:t>
      </w:r>
      <w:r w:rsidR="00031E7B">
        <w:rPr>
          <w:rFonts w:ascii="Arial" w:hAnsi="Arial" w:cs="Arial"/>
        </w:rPr>
        <w:t>OŚ</w:t>
      </w:r>
      <w:r w:rsidR="00031E7B" w:rsidRPr="008A3AEE">
        <w:rPr>
          <w:rFonts w:ascii="Arial" w:hAnsi="Arial" w:cs="Arial"/>
        </w:rPr>
        <w:t xml:space="preserve"> </w:t>
      </w:r>
      <w:r w:rsidRPr="00A32294">
        <w:rPr>
          <w:rFonts w:ascii="Arial" w:hAnsi="Arial" w:cs="Arial"/>
        </w:rPr>
        <w:t xml:space="preserve">uchwała </w:t>
      </w:r>
      <w:r w:rsidR="00ED3925" w:rsidRPr="00A32294">
        <w:rPr>
          <w:rFonts w:ascii="Arial" w:hAnsi="Arial" w:cs="Arial"/>
        </w:rPr>
        <w:t>s</w:t>
      </w:r>
      <w:r w:rsidRPr="00A32294">
        <w:rPr>
          <w:rFonts w:ascii="Arial" w:hAnsi="Arial" w:cs="Arial"/>
        </w:rPr>
        <w:t>ejmiku województwa wskazuje instalacje, dla których wprowadza się zakazy i ograniczenia w zakresie ich eksploatacji. Powyższe zostało określone w §</w:t>
      </w:r>
      <w:r w:rsidR="00031E7B">
        <w:rPr>
          <w:rFonts w:ascii="Arial" w:hAnsi="Arial" w:cs="Arial"/>
        </w:rPr>
        <w:t xml:space="preserve"> </w:t>
      </w:r>
      <w:r w:rsidRPr="00A32294">
        <w:rPr>
          <w:rFonts w:ascii="Arial" w:hAnsi="Arial" w:cs="Arial"/>
        </w:rPr>
        <w:t xml:space="preserve">2 niniejszej uchwały. </w:t>
      </w:r>
      <w:r w:rsidR="001F1EB6" w:rsidRPr="00A32294">
        <w:rPr>
          <w:rFonts w:ascii="Arial" w:hAnsi="Arial" w:cs="Arial"/>
        </w:rPr>
        <w:t xml:space="preserve"> </w:t>
      </w:r>
      <w:r w:rsidR="001841A2" w:rsidRPr="00A32294">
        <w:rPr>
          <w:rFonts w:ascii="Arial" w:hAnsi="Arial" w:cs="Arial"/>
        </w:rPr>
        <w:t>Należy zaznaczyć, iż stosownie do art. 96 ust. 8 ustawy P</w:t>
      </w:r>
      <w:r w:rsidR="00B037E7">
        <w:rPr>
          <w:rFonts w:ascii="Arial" w:hAnsi="Arial" w:cs="Arial"/>
        </w:rPr>
        <w:t>OŚ</w:t>
      </w:r>
      <w:r w:rsidR="001841A2" w:rsidRPr="00A32294">
        <w:rPr>
          <w:rFonts w:ascii="Arial" w:hAnsi="Arial" w:cs="Arial"/>
        </w:rPr>
        <w:t xml:space="preserve"> uchwałą objęte są instalacje</w:t>
      </w:r>
      <w:r w:rsidR="00851697" w:rsidRPr="00A32294">
        <w:rPr>
          <w:rFonts w:ascii="Arial" w:hAnsi="Arial" w:cs="Arial"/>
        </w:rPr>
        <w:t xml:space="preserve"> o mocy mniejszej niż 1 MW</w:t>
      </w:r>
      <w:r w:rsidR="001841A2" w:rsidRPr="00A32294">
        <w:rPr>
          <w:rFonts w:ascii="Arial" w:hAnsi="Arial" w:cs="Arial"/>
        </w:rPr>
        <w:t>, w których następuje spalanie paliw, z wyłączeniem instalacji, dla których wymagane jest uzyskanie pozwolenia zintegrowanego albo pozwolenia na wprowadzanie gazów lub pyłów do powietrza albo dokonanie zgłoszenia. Uchwała w §</w:t>
      </w:r>
      <w:r w:rsidR="00031E7B">
        <w:rPr>
          <w:rFonts w:ascii="Arial" w:hAnsi="Arial" w:cs="Arial"/>
        </w:rPr>
        <w:t xml:space="preserve"> </w:t>
      </w:r>
      <w:r w:rsidR="001841A2" w:rsidRPr="00A32294">
        <w:rPr>
          <w:rFonts w:ascii="Arial" w:hAnsi="Arial" w:cs="Arial"/>
        </w:rPr>
        <w:t>2 obejmuje wszystkie instalacje</w:t>
      </w:r>
      <w:r w:rsidR="00752F6E" w:rsidRPr="00752F6E">
        <w:rPr>
          <w:rFonts w:ascii="Arial" w:hAnsi="Arial" w:cs="Arial"/>
          <w:color w:val="000000"/>
        </w:rPr>
        <w:t xml:space="preserve"> </w:t>
      </w:r>
      <w:r w:rsidR="00752F6E" w:rsidRPr="00BC73AC">
        <w:rPr>
          <w:rFonts w:ascii="Arial" w:hAnsi="Arial" w:cs="Arial"/>
          <w:color w:val="000000"/>
        </w:rPr>
        <w:t>w szczególności kocioł,</w:t>
      </w:r>
      <w:r w:rsidR="00752F6E" w:rsidRPr="004F47ED">
        <w:rPr>
          <w:rFonts w:ascii="Arial" w:hAnsi="Arial" w:cs="Arial"/>
          <w:color w:val="000000"/>
        </w:rPr>
        <w:t xml:space="preserve"> kominek, piec i</w:t>
      </w:r>
      <w:r w:rsidR="00752F6E">
        <w:rPr>
          <w:rFonts w:ascii="Arial" w:hAnsi="Arial" w:cs="Arial"/>
          <w:color w:val="000000"/>
        </w:rPr>
        <w:t> </w:t>
      </w:r>
      <w:r w:rsidR="00752F6E" w:rsidRPr="004F47ED">
        <w:rPr>
          <w:rFonts w:ascii="Arial" w:hAnsi="Arial" w:cs="Arial"/>
          <w:color w:val="000000"/>
        </w:rPr>
        <w:t>kuchnia węglowa</w:t>
      </w:r>
      <w:r w:rsidR="001841A2" w:rsidRPr="00A32294">
        <w:rPr>
          <w:rFonts w:ascii="Arial" w:hAnsi="Arial" w:cs="Arial"/>
        </w:rPr>
        <w:t>, które</w:t>
      </w:r>
      <w:r w:rsidR="00752F6E">
        <w:rPr>
          <w:rFonts w:ascii="Arial" w:hAnsi="Arial" w:cs="Arial"/>
        </w:rPr>
        <w:t>:</w:t>
      </w:r>
    </w:p>
    <w:p w14:paraId="70B01479" w14:textId="4C18852C" w:rsidR="00752F6E" w:rsidRPr="00400CA2" w:rsidRDefault="00752F6E" w:rsidP="00752F6E">
      <w:pPr>
        <w:spacing w:after="0"/>
        <w:jc w:val="both"/>
        <w:rPr>
          <w:rFonts w:ascii="Arial" w:hAnsi="Arial" w:cs="Arial"/>
        </w:rPr>
      </w:pPr>
      <w:r>
        <w:rPr>
          <w:rFonts w:ascii="Arial" w:hAnsi="Arial" w:cs="Arial"/>
        </w:rPr>
        <w:t>1)</w:t>
      </w:r>
      <w:r w:rsidR="001841A2" w:rsidRPr="00A32294">
        <w:rPr>
          <w:rFonts w:ascii="Arial" w:hAnsi="Arial" w:cs="Arial"/>
        </w:rPr>
        <w:t xml:space="preserve"> </w:t>
      </w:r>
      <w:r w:rsidRPr="003B5785">
        <w:rPr>
          <w:rFonts w:ascii="Arial" w:hAnsi="Arial" w:cs="Arial"/>
          <w:color w:val="000000"/>
        </w:rPr>
        <w:t>dostarczają ciepło do systemu centralnego ogrzewania lub</w:t>
      </w:r>
    </w:p>
    <w:p w14:paraId="2E0E62F0" w14:textId="77777777" w:rsidR="00752F6E" w:rsidRPr="00400CA2" w:rsidRDefault="00752F6E" w:rsidP="00752F6E">
      <w:pPr>
        <w:numPr>
          <w:ilvl w:val="0"/>
          <w:numId w:val="25"/>
        </w:numPr>
        <w:spacing w:after="0"/>
        <w:ind w:left="284" w:hanging="284"/>
        <w:jc w:val="both"/>
        <w:rPr>
          <w:rFonts w:ascii="Arial" w:hAnsi="Arial" w:cs="Arial"/>
        </w:rPr>
      </w:pPr>
      <w:r w:rsidRPr="00400CA2">
        <w:rPr>
          <w:rFonts w:ascii="Arial" w:hAnsi="Arial" w:cs="Arial"/>
          <w:color w:val="000000"/>
        </w:rPr>
        <w:t>dostarczają ciepło do systemu przygotowania ciepłej wody użytkowej, lub</w:t>
      </w:r>
    </w:p>
    <w:p w14:paraId="78F66A20" w14:textId="77777777" w:rsidR="00752F6E" w:rsidRPr="00400CA2" w:rsidRDefault="00752F6E" w:rsidP="00752F6E">
      <w:pPr>
        <w:numPr>
          <w:ilvl w:val="0"/>
          <w:numId w:val="25"/>
        </w:numPr>
        <w:spacing w:after="0"/>
        <w:ind w:left="284" w:hanging="284"/>
        <w:jc w:val="both"/>
        <w:rPr>
          <w:rFonts w:ascii="Arial" w:hAnsi="Arial" w:cs="Arial"/>
        </w:rPr>
      </w:pPr>
      <w:r w:rsidRPr="00400CA2">
        <w:rPr>
          <w:rFonts w:ascii="Arial" w:hAnsi="Arial" w:cs="Arial"/>
          <w:color w:val="000000"/>
        </w:rPr>
        <w:t>dostarczają ciepło poprzez:</w:t>
      </w:r>
    </w:p>
    <w:p w14:paraId="20523EC5" w14:textId="77777777" w:rsidR="00752F6E" w:rsidRDefault="00752F6E" w:rsidP="00752F6E">
      <w:pPr>
        <w:numPr>
          <w:ilvl w:val="0"/>
          <w:numId w:val="26"/>
        </w:numPr>
        <w:spacing w:after="0"/>
        <w:ind w:left="284" w:hanging="284"/>
        <w:jc w:val="both"/>
        <w:rPr>
          <w:rFonts w:ascii="Arial" w:hAnsi="Arial" w:cs="Arial"/>
          <w:color w:val="000000"/>
        </w:rPr>
      </w:pPr>
      <w:r w:rsidRPr="003B5785">
        <w:rPr>
          <w:rFonts w:ascii="Arial" w:hAnsi="Arial" w:cs="Arial"/>
          <w:color w:val="000000"/>
        </w:rPr>
        <w:t>bezpośrednie przenoszenie ciepła</w:t>
      </w:r>
      <w:r>
        <w:rPr>
          <w:rFonts w:ascii="Arial" w:hAnsi="Arial" w:cs="Arial"/>
          <w:color w:val="000000"/>
        </w:rPr>
        <w:t>,</w:t>
      </w:r>
      <w:r w:rsidRPr="003B5785">
        <w:rPr>
          <w:rFonts w:ascii="Arial" w:hAnsi="Arial" w:cs="Arial"/>
          <w:color w:val="000000"/>
        </w:rPr>
        <w:t xml:space="preserve"> lub</w:t>
      </w:r>
    </w:p>
    <w:p w14:paraId="0E3EC9D6" w14:textId="77777777" w:rsidR="00752F6E" w:rsidRDefault="00752F6E" w:rsidP="00752F6E">
      <w:pPr>
        <w:numPr>
          <w:ilvl w:val="0"/>
          <w:numId w:val="26"/>
        </w:numPr>
        <w:spacing w:after="0"/>
        <w:ind w:left="284" w:hanging="284"/>
        <w:jc w:val="both"/>
        <w:rPr>
          <w:rFonts w:ascii="Arial" w:hAnsi="Arial" w:cs="Arial"/>
          <w:color w:val="000000"/>
        </w:rPr>
      </w:pPr>
      <w:r w:rsidRPr="00400CA2">
        <w:rPr>
          <w:rFonts w:ascii="Arial" w:hAnsi="Arial" w:cs="Arial"/>
          <w:color w:val="000000"/>
        </w:rPr>
        <w:t>bezpośrednie przenoszenie ciepła w połączeniu z przenoszeniem ciepła do medium</w:t>
      </w:r>
      <w:r>
        <w:rPr>
          <w:rFonts w:ascii="Arial" w:hAnsi="Arial" w:cs="Arial"/>
          <w:color w:val="000000"/>
        </w:rPr>
        <w:t>,</w:t>
      </w:r>
      <w:r w:rsidRPr="00400CA2">
        <w:rPr>
          <w:rFonts w:ascii="Arial" w:hAnsi="Arial" w:cs="Arial"/>
          <w:color w:val="000000"/>
        </w:rPr>
        <w:t xml:space="preserve"> lub</w:t>
      </w:r>
    </w:p>
    <w:p w14:paraId="234ABD57" w14:textId="687C4CA0" w:rsidR="003C6C0F" w:rsidRPr="00A32294" w:rsidRDefault="00752F6E" w:rsidP="00752F6E">
      <w:pPr>
        <w:tabs>
          <w:tab w:val="left" w:pos="709"/>
        </w:tabs>
        <w:spacing w:after="0"/>
        <w:jc w:val="both"/>
        <w:rPr>
          <w:rFonts w:ascii="Arial" w:hAnsi="Arial" w:cs="Arial"/>
        </w:rPr>
      </w:pPr>
      <w:r w:rsidRPr="00400CA2">
        <w:rPr>
          <w:rFonts w:ascii="Arial" w:hAnsi="Arial" w:cs="Arial"/>
          <w:color w:val="000000"/>
        </w:rPr>
        <w:lastRenderedPageBreak/>
        <w:t>bezpośrednie przenoszenie ciepła w połączeniu z systemem dystrybucji gorącego powietrza</w:t>
      </w:r>
      <w:r>
        <w:rPr>
          <w:rFonts w:ascii="Arial" w:hAnsi="Arial" w:cs="Arial"/>
          <w:color w:val="000000"/>
        </w:rPr>
        <w:t xml:space="preserve">. </w:t>
      </w:r>
      <w:r w:rsidR="003C6C0F" w:rsidRPr="00A32294">
        <w:rPr>
          <w:rFonts w:ascii="Arial" w:hAnsi="Arial" w:cs="Arial"/>
        </w:rPr>
        <w:t>Celem wskazania tego katalogu jest uczynienie uchwały regulacją przejrzystą i jasną dla podmiotów określonych w §</w:t>
      </w:r>
      <w:r w:rsidR="00031E7B">
        <w:rPr>
          <w:rFonts w:ascii="Arial" w:hAnsi="Arial" w:cs="Arial"/>
        </w:rPr>
        <w:t xml:space="preserve"> </w:t>
      </w:r>
      <w:r w:rsidR="003C6C0F" w:rsidRPr="00A32294">
        <w:rPr>
          <w:rFonts w:ascii="Arial" w:hAnsi="Arial" w:cs="Arial"/>
        </w:rPr>
        <w:t>3 uchwały. Katalog nie jest wyczerpujący, ponieważ na rynku instalacji pojawiają się różne produkty, a ponadto producenci instalacji używają dla nich różnych nazw handlowych. Rodzaje instalacji, które zostały objęte ograniczeniami są zdefiniowane ze względu na ich cechy rodzajowe i przy wykorzystaniu pojęć o charakterze generalnym.</w:t>
      </w:r>
    </w:p>
    <w:p w14:paraId="205E07FA" w14:textId="669D4101" w:rsidR="00A32294" w:rsidRPr="00A32294" w:rsidRDefault="008A3AEE" w:rsidP="00A32294">
      <w:pPr>
        <w:tabs>
          <w:tab w:val="left" w:pos="709"/>
        </w:tabs>
        <w:spacing w:after="0"/>
        <w:jc w:val="both"/>
        <w:rPr>
          <w:rFonts w:ascii="Arial" w:hAnsi="Arial" w:cs="Arial"/>
        </w:rPr>
      </w:pPr>
      <w:r>
        <w:rPr>
          <w:rFonts w:ascii="Arial" w:hAnsi="Arial" w:cs="Arial"/>
        </w:rPr>
        <w:tab/>
      </w:r>
      <w:r w:rsidR="00A32294" w:rsidRPr="00A32294">
        <w:rPr>
          <w:rFonts w:ascii="Arial" w:hAnsi="Arial" w:cs="Arial"/>
        </w:rPr>
        <w:t>Nadmienić należy, że o</w:t>
      </w:r>
      <w:r w:rsidR="00851697" w:rsidRPr="00A32294">
        <w:rPr>
          <w:rFonts w:ascii="Arial" w:hAnsi="Arial" w:cs="Arial"/>
        </w:rPr>
        <w:t xml:space="preserve">d 1 stycznia 2020 roku, zgodnie z rozporządzeniem Komisji UE 2015/1189 </w:t>
      </w:r>
      <w:r w:rsidR="00A32294" w:rsidRPr="00A32294">
        <w:rPr>
          <w:rFonts w:ascii="Arial" w:hAnsi="Arial" w:cs="Arial"/>
          <w:color w:val="000000"/>
        </w:rPr>
        <w:t xml:space="preserve">z dnia 28 kwietnia 2015 r. w sprawie wykonania dyrektywy Parlamentu Europejskiego i Rady 2009/125/WE w odniesieniu do wymogów dotyczących ekoprojektu dla kotłów na paliwo stałe (Dz. Urz. UE, L, Nr 193 z 21.7.2015 r., str. 100, z </w:t>
      </w:r>
      <w:proofErr w:type="spellStart"/>
      <w:r w:rsidR="00A32294" w:rsidRPr="00A32294">
        <w:rPr>
          <w:rFonts w:ascii="Arial" w:hAnsi="Arial" w:cs="Arial"/>
          <w:color w:val="000000"/>
        </w:rPr>
        <w:t>późn</w:t>
      </w:r>
      <w:proofErr w:type="spellEnd"/>
      <w:r w:rsidR="00A32294" w:rsidRPr="00A32294">
        <w:rPr>
          <w:rFonts w:ascii="Arial" w:hAnsi="Arial" w:cs="Arial"/>
          <w:color w:val="000000"/>
        </w:rPr>
        <w:t>. zm.</w:t>
      </w:r>
      <w:r w:rsidR="00A32294" w:rsidRPr="00A32294">
        <w:rPr>
          <w:rStyle w:val="Odwoanieprzypisudolnego"/>
          <w:rFonts w:ascii="Arial" w:hAnsi="Arial" w:cs="Arial"/>
          <w:color w:val="000000"/>
        </w:rPr>
        <w:footnoteReference w:id="1"/>
      </w:r>
      <w:r w:rsidR="00A32294" w:rsidRPr="00A32294">
        <w:rPr>
          <w:rFonts w:ascii="Arial" w:hAnsi="Arial" w:cs="Arial"/>
          <w:color w:val="000000"/>
        </w:rPr>
        <w:t>)</w:t>
      </w:r>
      <w:r w:rsidR="00851697" w:rsidRPr="00A32294">
        <w:rPr>
          <w:rFonts w:ascii="Arial" w:hAnsi="Arial" w:cs="Arial"/>
        </w:rPr>
        <w:t>, nie jest możliwe wprowadzanie do obrotu i użytkowania kotłów niespełniających wymagań określonych w tym rozporządzeniu.</w:t>
      </w:r>
      <w:r w:rsidR="00A32294" w:rsidRPr="00A32294">
        <w:rPr>
          <w:rFonts w:ascii="Arial" w:hAnsi="Arial" w:cs="Arial"/>
        </w:rPr>
        <w:t xml:space="preserve"> </w:t>
      </w:r>
    </w:p>
    <w:p w14:paraId="53A79A15" w14:textId="442D7E96" w:rsidR="00851697" w:rsidRPr="00A32294" w:rsidRDefault="00851697" w:rsidP="00A32294">
      <w:pPr>
        <w:tabs>
          <w:tab w:val="left" w:pos="709"/>
        </w:tabs>
        <w:spacing w:after="0"/>
        <w:jc w:val="both"/>
        <w:rPr>
          <w:rFonts w:ascii="Arial" w:hAnsi="Arial" w:cs="Arial"/>
        </w:rPr>
      </w:pPr>
      <w:r w:rsidRPr="00A32294">
        <w:rPr>
          <w:rFonts w:ascii="Arial" w:hAnsi="Arial" w:cs="Arial"/>
          <w:color w:val="000000"/>
        </w:rPr>
        <w:t xml:space="preserve">§ 2 pkt 1 i 2, dopuszcza wyłącznie eksploatację instalacji spełniających wymagania określone w </w:t>
      </w:r>
      <w:r w:rsidR="00A32294" w:rsidRPr="00A32294">
        <w:rPr>
          <w:rFonts w:ascii="Arial" w:hAnsi="Arial" w:cs="Arial"/>
          <w:color w:val="000000"/>
        </w:rPr>
        <w:t xml:space="preserve">ww. rozporządzeniu </w:t>
      </w:r>
      <w:r w:rsidRPr="00A32294">
        <w:rPr>
          <w:rFonts w:ascii="Arial" w:hAnsi="Arial" w:cs="Arial"/>
          <w:color w:val="000000"/>
        </w:rPr>
        <w:t>zgodnie z którymi:</w:t>
      </w:r>
    </w:p>
    <w:p w14:paraId="5FCEEDCB" w14:textId="77777777" w:rsidR="00851697" w:rsidRPr="00A32294" w:rsidRDefault="00851697" w:rsidP="00A32294">
      <w:pPr>
        <w:pStyle w:val="Akapitzlist"/>
        <w:numPr>
          <w:ilvl w:val="0"/>
          <w:numId w:val="18"/>
        </w:numPr>
        <w:ind w:left="284" w:hanging="284"/>
        <w:jc w:val="both"/>
        <w:rPr>
          <w:rFonts w:cs="Arial"/>
          <w:color w:val="000000"/>
        </w:rPr>
      </w:pPr>
      <w:r w:rsidRPr="00A32294">
        <w:rPr>
          <w:rFonts w:cs="Arial"/>
          <w:color w:val="000000"/>
        </w:rPr>
        <w:t xml:space="preserve">sezonowa efektywność energetyczna ogrzewania pomieszczeń dla kotłów </w:t>
      </w:r>
      <w:r w:rsidRPr="00A32294">
        <w:rPr>
          <w:rFonts w:cs="Arial"/>
          <w:color w:val="000000"/>
        </w:rPr>
        <w:br/>
        <w:t xml:space="preserve">o nominalnej mocy cieplnej 20 kW lub mniejszej nie może być mniejsza niż 75 %; </w:t>
      </w:r>
    </w:p>
    <w:p w14:paraId="2085809B" w14:textId="77777777" w:rsidR="00851697" w:rsidRPr="00A32294" w:rsidRDefault="00851697" w:rsidP="00A32294">
      <w:pPr>
        <w:pStyle w:val="Akapitzlist"/>
        <w:numPr>
          <w:ilvl w:val="0"/>
          <w:numId w:val="18"/>
        </w:numPr>
        <w:ind w:left="284" w:hanging="284"/>
        <w:jc w:val="both"/>
        <w:rPr>
          <w:rFonts w:cs="Arial"/>
          <w:color w:val="000000"/>
        </w:rPr>
      </w:pPr>
      <w:r w:rsidRPr="00A32294">
        <w:rPr>
          <w:rFonts w:cs="Arial"/>
          <w:color w:val="000000"/>
        </w:rPr>
        <w:t xml:space="preserve">sezonowa efektywność energetyczna ogrzewania pomieszczeń dla kotłów </w:t>
      </w:r>
      <w:r w:rsidRPr="00A32294">
        <w:rPr>
          <w:rFonts w:cs="Arial"/>
          <w:color w:val="000000"/>
        </w:rPr>
        <w:br/>
        <w:t xml:space="preserve">o znamionowej mocy cieplnej przekraczającej 20 kW nie może być mniejsza niż </w:t>
      </w:r>
      <w:r w:rsidRPr="00A32294">
        <w:rPr>
          <w:rFonts w:cs="Arial"/>
          <w:color w:val="000000"/>
        </w:rPr>
        <w:br/>
        <w:t xml:space="preserve">77 %; </w:t>
      </w:r>
    </w:p>
    <w:p w14:paraId="3CA37773" w14:textId="77777777" w:rsidR="00851697" w:rsidRPr="00A32294" w:rsidRDefault="00851697" w:rsidP="00A32294">
      <w:pPr>
        <w:pStyle w:val="Akapitzlist"/>
        <w:numPr>
          <w:ilvl w:val="0"/>
          <w:numId w:val="18"/>
        </w:numPr>
        <w:ind w:left="284" w:hanging="284"/>
        <w:jc w:val="both"/>
        <w:rPr>
          <w:rFonts w:cs="Arial"/>
          <w:color w:val="000000"/>
        </w:rPr>
      </w:pPr>
      <w:r w:rsidRPr="00A32294">
        <w:rPr>
          <w:rFonts w:cs="Arial"/>
          <w:color w:val="000000"/>
        </w:rPr>
        <w:t>emisje cząstek stałych dotyczące sezonowego ogrzewania pomieszczeń nie mogą przekraczać 40 mg/m</w:t>
      </w:r>
      <w:r w:rsidRPr="00A32294">
        <w:rPr>
          <w:rFonts w:cs="Arial"/>
          <w:color w:val="000000"/>
          <w:vertAlign w:val="superscript"/>
        </w:rPr>
        <w:t>3</w:t>
      </w:r>
      <w:r w:rsidRPr="00A32294">
        <w:rPr>
          <w:rFonts w:cs="Arial"/>
          <w:color w:val="000000"/>
        </w:rPr>
        <w:t xml:space="preserve"> w przypadku kotłów z automatycznym podawaniem paliwa oraz 60 mg/m3 w przypadku kotłów z ręcznym podawaniem paliwa;</w:t>
      </w:r>
    </w:p>
    <w:p w14:paraId="662A5902" w14:textId="77777777" w:rsidR="00851697" w:rsidRPr="00A32294" w:rsidRDefault="00851697" w:rsidP="00A32294">
      <w:pPr>
        <w:pStyle w:val="Akapitzlist"/>
        <w:numPr>
          <w:ilvl w:val="0"/>
          <w:numId w:val="18"/>
        </w:numPr>
        <w:ind w:left="284" w:hanging="284"/>
        <w:jc w:val="both"/>
        <w:rPr>
          <w:rFonts w:cs="Arial"/>
          <w:color w:val="000000"/>
        </w:rPr>
      </w:pPr>
      <w:r w:rsidRPr="00A32294">
        <w:rPr>
          <w:rFonts w:cs="Arial"/>
          <w:color w:val="000000"/>
        </w:rPr>
        <w:t xml:space="preserve"> emisje organicznych związków gazowych dotyczące sezonowego ogrzewania pomieszczeń nie mogą przekraczać 20 mg/m</w:t>
      </w:r>
      <w:r w:rsidRPr="00A32294">
        <w:rPr>
          <w:rFonts w:cs="Arial"/>
          <w:color w:val="000000"/>
          <w:vertAlign w:val="superscript"/>
        </w:rPr>
        <w:t>3</w:t>
      </w:r>
      <w:r w:rsidRPr="00A32294">
        <w:rPr>
          <w:rFonts w:cs="Arial"/>
          <w:color w:val="000000"/>
        </w:rPr>
        <w:t xml:space="preserve"> w przypadku kotłów z automatycznym podawaniem paliwa oraz 30 mg/m</w:t>
      </w:r>
      <w:r w:rsidRPr="00A32294">
        <w:rPr>
          <w:rFonts w:cs="Arial"/>
          <w:color w:val="000000"/>
          <w:vertAlign w:val="superscript"/>
        </w:rPr>
        <w:t>3</w:t>
      </w:r>
      <w:r w:rsidRPr="00A32294">
        <w:rPr>
          <w:rFonts w:cs="Arial"/>
          <w:color w:val="000000"/>
        </w:rPr>
        <w:t xml:space="preserve"> w przypadku kotłów z ręcznym podawaniem paliwa; </w:t>
      </w:r>
    </w:p>
    <w:p w14:paraId="01A58097" w14:textId="77777777" w:rsidR="00851697" w:rsidRPr="00A32294" w:rsidRDefault="00851697" w:rsidP="00A32294">
      <w:pPr>
        <w:pStyle w:val="Akapitzlist"/>
        <w:numPr>
          <w:ilvl w:val="0"/>
          <w:numId w:val="18"/>
        </w:numPr>
        <w:ind w:left="284" w:hanging="284"/>
        <w:jc w:val="both"/>
        <w:rPr>
          <w:rFonts w:cs="Arial"/>
          <w:color w:val="000000"/>
        </w:rPr>
      </w:pPr>
      <w:r w:rsidRPr="00A32294">
        <w:rPr>
          <w:rFonts w:cs="Arial"/>
          <w:color w:val="000000"/>
        </w:rPr>
        <w:t>emisje tlenku węgla dotyczące sezonowego ogrzewania pomieszczeń nie mogą przekraczać 500 mg/m</w:t>
      </w:r>
      <w:r w:rsidRPr="00A32294">
        <w:rPr>
          <w:rFonts w:cs="Arial"/>
          <w:color w:val="000000"/>
          <w:vertAlign w:val="superscript"/>
        </w:rPr>
        <w:t>3</w:t>
      </w:r>
      <w:r w:rsidRPr="00A32294">
        <w:rPr>
          <w:rFonts w:cs="Arial"/>
          <w:color w:val="000000"/>
        </w:rPr>
        <w:t xml:space="preserve"> w przypadku kotłów z automatycznym podawaniem paliwa oraz 700 mg/m</w:t>
      </w:r>
      <w:r w:rsidRPr="00A32294">
        <w:rPr>
          <w:rFonts w:cs="Arial"/>
          <w:color w:val="000000"/>
          <w:vertAlign w:val="superscript"/>
        </w:rPr>
        <w:t>3</w:t>
      </w:r>
      <w:r w:rsidRPr="00A32294">
        <w:rPr>
          <w:rFonts w:cs="Arial"/>
          <w:color w:val="000000"/>
        </w:rPr>
        <w:t xml:space="preserve"> w przypadku kotłów z ręcznym podawaniem paliwa; </w:t>
      </w:r>
    </w:p>
    <w:p w14:paraId="2C88AD02" w14:textId="57FC2EBE" w:rsidR="00851697" w:rsidRPr="00A32294" w:rsidRDefault="00851697" w:rsidP="00A32294">
      <w:pPr>
        <w:pStyle w:val="Akapitzlist"/>
        <w:numPr>
          <w:ilvl w:val="0"/>
          <w:numId w:val="18"/>
        </w:numPr>
        <w:ind w:left="284" w:hanging="284"/>
        <w:jc w:val="both"/>
        <w:rPr>
          <w:rFonts w:cs="Arial"/>
          <w:color w:val="000000"/>
        </w:rPr>
      </w:pPr>
      <w:r w:rsidRPr="00A32294">
        <w:rPr>
          <w:rFonts w:cs="Arial"/>
          <w:color w:val="000000"/>
        </w:rPr>
        <w:t>emisje tlenków azotu, wyrażone jako ekwiwalent dwutlenku azotu, dotyczące sezonowego ogrzewania pomieszczeń nie mogą przekraczać 200 mg/m</w:t>
      </w:r>
      <w:r w:rsidRPr="00A32294">
        <w:rPr>
          <w:rFonts w:cs="Arial"/>
          <w:color w:val="000000"/>
          <w:vertAlign w:val="superscript"/>
        </w:rPr>
        <w:t>3</w:t>
      </w:r>
      <w:r w:rsidRPr="00A32294">
        <w:rPr>
          <w:rFonts w:cs="Arial"/>
          <w:color w:val="000000"/>
        </w:rPr>
        <w:t xml:space="preserve"> w przypadku kotłów na biomasę oraz 350 mg/m</w:t>
      </w:r>
      <w:r w:rsidRPr="00A32294">
        <w:rPr>
          <w:rFonts w:cs="Arial"/>
          <w:color w:val="000000"/>
          <w:vertAlign w:val="superscript"/>
        </w:rPr>
        <w:t>3</w:t>
      </w:r>
      <w:r w:rsidRPr="00A32294">
        <w:rPr>
          <w:rFonts w:cs="Arial"/>
          <w:color w:val="000000"/>
        </w:rPr>
        <w:t xml:space="preserve"> w przypadku kotłów na paliwa kopalne.</w:t>
      </w:r>
    </w:p>
    <w:p w14:paraId="645B5CEE" w14:textId="121BDB63" w:rsidR="00851697" w:rsidRPr="00A32294" w:rsidRDefault="008A3AEE" w:rsidP="00A32294">
      <w:pPr>
        <w:tabs>
          <w:tab w:val="left" w:pos="709"/>
        </w:tabs>
        <w:spacing w:after="0"/>
        <w:jc w:val="both"/>
        <w:rPr>
          <w:rFonts w:ascii="Arial" w:hAnsi="Arial" w:cs="Arial"/>
        </w:rPr>
      </w:pPr>
      <w:r>
        <w:rPr>
          <w:rFonts w:ascii="Arial" w:hAnsi="Arial" w:cs="Arial"/>
        </w:rPr>
        <w:tab/>
      </w:r>
      <w:r w:rsidR="00477EE2" w:rsidRPr="00A32294">
        <w:rPr>
          <w:rFonts w:ascii="Arial" w:hAnsi="Arial" w:cs="Arial"/>
        </w:rPr>
        <w:t>§ 3</w:t>
      </w:r>
      <w:r w:rsidR="001841A2" w:rsidRPr="00A32294">
        <w:rPr>
          <w:rFonts w:ascii="Arial" w:hAnsi="Arial" w:cs="Arial"/>
        </w:rPr>
        <w:t xml:space="preserve"> uchwały</w:t>
      </w:r>
      <w:r w:rsidR="00477EE2" w:rsidRPr="00A32294">
        <w:rPr>
          <w:rFonts w:ascii="Arial" w:hAnsi="Arial" w:cs="Arial"/>
        </w:rPr>
        <w:t xml:space="preserve"> precyzuje natomiast podmioty, których dotyczą przepisy niniejszej uchwały. Należy podkreślić, iż w przypadku przedmiotowego przepisu istotę stanowi fakt eksploatacji instalacji, a nie tytuł własności. </w:t>
      </w:r>
      <w:r w:rsidR="00752F6E">
        <w:rPr>
          <w:rFonts w:ascii="Arial" w:hAnsi="Arial" w:cs="Arial"/>
        </w:rPr>
        <w:t>Ty</w:t>
      </w:r>
      <w:r w:rsidR="00434B6C">
        <w:rPr>
          <w:rFonts w:ascii="Arial" w:hAnsi="Arial" w:cs="Arial"/>
        </w:rPr>
        <w:t>m</w:t>
      </w:r>
      <w:r w:rsidR="00752F6E">
        <w:rPr>
          <w:rFonts w:ascii="Arial" w:hAnsi="Arial" w:cs="Arial"/>
        </w:rPr>
        <w:t xml:space="preserve"> samym o</w:t>
      </w:r>
      <w:r w:rsidR="00477EE2" w:rsidRPr="00A32294">
        <w:rPr>
          <w:rFonts w:ascii="Arial" w:hAnsi="Arial" w:cs="Arial"/>
        </w:rPr>
        <w:t>graniczeniami i zakazami objęto podmioty, które eksploatują instalacje</w:t>
      </w:r>
      <w:r w:rsidR="00A32294">
        <w:rPr>
          <w:rFonts w:ascii="Arial" w:hAnsi="Arial" w:cs="Arial"/>
        </w:rPr>
        <w:t>.</w:t>
      </w:r>
      <w:r w:rsidR="00477EE2" w:rsidRPr="00A32294">
        <w:rPr>
          <w:rFonts w:ascii="Arial" w:hAnsi="Arial" w:cs="Arial"/>
        </w:rPr>
        <w:t xml:space="preserve"> </w:t>
      </w:r>
    </w:p>
    <w:p w14:paraId="1A0462B6" w14:textId="51BC3297" w:rsidR="008C5B1E" w:rsidRPr="00340DAD" w:rsidRDefault="00E25F07" w:rsidP="00340DAD">
      <w:pPr>
        <w:tabs>
          <w:tab w:val="left" w:pos="709"/>
        </w:tabs>
        <w:spacing w:after="0"/>
        <w:jc w:val="both"/>
        <w:rPr>
          <w:rFonts w:ascii="Arial" w:hAnsi="Arial" w:cs="Arial"/>
        </w:rPr>
      </w:pPr>
      <w:r w:rsidRPr="00A32294">
        <w:rPr>
          <w:rFonts w:ascii="Arial" w:hAnsi="Arial" w:cs="Arial"/>
        </w:rPr>
        <w:t>Uchwała nie różnicuje adresatów uchwały z punktu widzenia posiadania przez nich tytułu prawnego do instalacji. Takie różnicowanie w nieuprawniony sposób mogłoby uprzywilejowywać osoby, których tytuł prawny do instalacji jest sporny, niejasny, lub które żadnego tytułu prawnego nie posiadają względem osób posiadających tytuł prawny do instalacji. Z punktu widzenia celów uchwały istotny jest sposób eksploatacji instalacji.</w:t>
      </w:r>
    </w:p>
    <w:p w14:paraId="2EBD87A7" w14:textId="2F417DBA" w:rsidR="008C5B1E" w:rsidRPr="00340DAD" w:rsidRDefault="008A3AEE" w:rsidP="00340DAD">
      <w:pPr>
        <w:tabs>
          <w:tab w:val="left" w:pos="709"/>
        </w:tabs>
        <w:ind w:right="-2"/>
        <w:jc w:val="both"/>
        <w:rPr>
          <w:rFonts w:ascii="Arial" w:hAnsi="Arial" w:cs="Arial"/>
        </w:rPr>
      </w:pPr>
      <w:r>
        <w:rPr>
          <w:rFonts w:ascii="Arial" w:hAnsi="Arial" w:cs="Arial"/>
        </w:rPr>
        <w:tab/>
      </w:r>
      <w:r w:rsidR="00D41D5D" w:rsidRPr="008A3AEE">
        <w:rPr>
          <w:rFonts w:ascii="Arial" w:hAnsi="Arial" w:cs="Arial"/>
        </w:rPr>
        <w:t>Art. 96 ust. 6 pkt. 3 ustawy P</w:t>
      </w:r>
      <w:r w:rsidR="00031E7B">
        <w:rPr>
          <w:rFonts w:ascii="Arial" w:hAnsi="Arial" w:cs="Arial"/>
        </w:rPr>
        <w:t>OŚ</w:t>
      </w:r>
      <w:r w:rsidR="00D41D5D" w:rsidRPr="008A3AEE">
        <w:rPr>
          <w:rFonts w:ascii="Arial" w:hAnsi="Arial" w:cs="Arial"/>
        </w:rPr>
        <w:t xml:space="preserve"> stanowi, iż uchwała sejmiku województwa powinna określać rodzaje lub jakość paliw dopuszczonych do stosowania lub których stosowanie jest zakazane, lub parametry techniczne instalacji, których stosowanie jest zakazane, lub parametry techniczne lub rozwiązania techniczne lub parametry emisji instalacji, w których następuje spalanie paliw dopuszczonych do stosowania na określonym obszarze. Stosownie </w:t>
      </w:r>
      <w:r w:rsidR="00D41D5D" w:rsidRPr="008A3AEE">
        <w:rPr>
          <w:rFonts w:ascii="Arial" w:hAnsi="Arial" w:cs="Arial"/>
        </w:rPr>
        <w:lastRenderedPageBreak/>
        <w:t xml:space="preserve">do niniejszych zapisów w § 6 wprowadzono zakazy w zakresie stosowania paliw stałych. Zakazy dotyczą stosowania paliw charakteryzujących się wysoką emisją zanieczyszczeń powstających w trakcie ich spalania. Przyjęte parametry wilgotności biomasy odpowiadają wartościom uzyskiwanym poprzez sezonowanie drewna przez okres dwóch </w:t>
      </w:r>
      <w:r w:rsidR="00752F6E">
        <w:rPr>
          <w:rFonts w:ascii="Arial" w:hAnsi="Arial" w:cs="Arial"/>
        </w:rPr>
        <w:t>lat</w:t>
      </w:r>
      <w:r w:rsidR="00D41D5D" w:rsidRPr="008A3AEE">
        <w:rPr>
          <w:rFonts w:ascii="Arial" w:hAnsi="Arial" w:cs="Arial"/>
        </w:rPr>
        <w:t>. Są one zgodne z postulatami branży producentów kominków i pieców oraz wartościami zalecanymi w</w:t>
      </w:r>
      <w:r w:rsidR="00031E7B">
        <w:rPr>
          <w:rFonts w:ascii="Arial" w:hAnsi="Arial" w:cs="Arial"/>
        </w:rPr>
        <w:t> </w:t>
      </w:r>
      <w:r w:rsidR="00D41D5D" w:rsidRPr="008A3AEE">
        <w:rPr>
          <w:rFonts w:ascii="Arial" w:hAnsi="Arial" w:cs="Arial"/>
        </w:rPr>
        <w:t xml:space="preserve">instrukcjach i dokumentacjach technicznych nowoczesnych kotłów na drewno. </w:t>
      </w:r>
    </w:p>
    <w:p w14:paraId="7AE65719" w14:textId="324095F3" w:rsidR="008933CD" w:rsidRPr="005868FC" w:rsidRDefault="008933CD" w:rsidP="005868FC">
      <w:pPr>
        <w:tabs>
          <w:tab w:val="left" w:pos="709"/>
        </w:tabs>
        <w:spacing w:after="0"/>
        <w:jc w:val="both"/>
        <w:rPr>
          <w:rFonts w:ascii="Arial" w:hAnsi="Arial" w:cs="Arial"/>
        </w:rPr>
      </w:pPr>
      <w:r w:rsidRPr="005868FC">
        <w:rPr>
          <w:rFonts w:ascii="Arial" w:hAnsi="Arial" w:cs="Arial"/>
        </w:rPr>
        <w:tab/>
      </w:r>
      <w:r w:rsidR="002C68CE" w:rsidRPr="005868FC">
        <w:rPr>
          <w:rFonts w:ascii="Arial" w:hAnsi="Arial" w:cs="Arial"/>
        </w:rPr>
        <w:t>Zgodnie z art. 96 ust. 7</w:t>
      </w:r>
      <w:r w:rsidR="00444066">
        <w:rPr>
          <w:rFonts w:ascii="Arial" w:hAnsi="Arial" w:cs="Arial"/>
        </w:rPr>
        <w:t xml:space="preserve"> pkt 1 i 2</w:t>
      </w:r>
      <w:r w:rsidR="002C68CE" w:rsidRPr="005868FC">
        <w:rPr>
          <w:rFonts w:ascii="Arial" w:hAnsi="Arial" w:cs="Arial"/>
        </w:rPr>
        <w:t xml:space="preserve"> ustawy POŚ uchwała sejmiku województwa może także określać sposób lub cel wykorzystania paliw, który jest objęty ograniczeniami określonymi w uchwale, okres obowiązywania ograniczeń lub zakazów w ciągu roku</w:t>
      </w:r>
      <w:r w:rsidR="00444066">
        <w:rPr>
          <w:rFonts w:ascii="Arial" w:hAnsi="Arial" w:cs="Arial"/>
        </w:rPr>
        <w:t>.</w:t>
      </w:r>
      <w:r w:rsidR="002C68CE" w:rsidRPr="005868FC">
        <w:rPr>
          <w:rFonts w:ascii="Arial" w:hAnsi="Arial" w:cs="Arial"/>
        </w:rPr>
        <w:t xml:space="preserve"> </w:t>
      </w:r>
    </w:p>
    <w:p w14:paraId="53D1D4BC" w14:textId="41F83C3A" w:rsidR="005868FC" w:rsidRPr="005868FC" w:rsidRDefault="002C68CE" w:rsidP="005868FC">
      <w:pPr>
        <w:tabs>
          <w:tab w:val="left" w:pos="709"/>
        </w:tabs>
        <w:spacing w:after="0"/>
        <w:jc w:val="both"/>
        <w:rPr>
          <w:rFonts w:ascii="Arial" w:hAnsi="Arial" w:cs="Arial"/>
        </w:rPr>
      </w:pPr>
      <w:r w:rsidRPr="005868FC">
        <w:rPr>
          <w:rFonts w:ascii="Arial" w:hAnsi="Arial" w:cs="Arial"/>
        </w:rPr>
        <w:t>Niniejsza uchwała nie wskazuje sposobu i celu wykorzystania paliw, który jest objęty ograniczeniami. Należy zauważyć, że przebieg procesu spalania i emisja zanieczyszczeń związana ze stosowaniem paliw stałych jest identyczna bez względu na cel stosowania paliw. Regulacja dąży do ograniczenia emisji zanieczyszczeń do powietrza i nie może przewidywać wyjątków dla procesów, które tę emisję również powodują. Ponadto dzięki objęciu ograniczeniami instalacji</w:t>
      </w:r>
      <w:r w:rsidR="008933CD" w:rsidRPr="005868FC">
        <w:rPr>
          <w:rFonts w:ascii="Arial" w:hAnsi="Arial" w:cs="Arial"/>
        </w:rPr>
        <w:t xml:space="preserve"> wymienionych w §</w:t>
      </w:r>
      <w:r w:rsidR="00444066">
        <w:rPr>
          <w:rFonts w:ascii="Arial" w:hAnsi="Arial" w:cs="Arial"/>
        </w:rPr>
        <w:t xml:space="preserve"> </w:t>
      </w:r>
      <w:r w:rsidR="008933CD" w:rsidRPr="005868FC">
        <w:rPr>
          <w:rFonts w:ascii="Arial" w:hAnsi="Arial" w:cs="Arial"/>
        </w:rPr>
        <w:t>2</w:t>
      </w:r>
      <w:r w:rsidRPr="005868FC">
        <w:rPr>
          <w:rFonts w:ascii="Arial" w:hAnsi="Arial" w:cs="Arial"/>
        </w:rPr>
        <w:t>, w których następuje spalanie paliw, niezależnie od celu stosowania tych paliw, uzyskany zostanie efekt domknięcia ewentualnych luk i</w:t>
      </w:r>
      <w:r w:rsidR="00444066">
        <w:rPr>
          <w:rFonts w:ascii="Arial" w:hAnsi="Arial" w:cs="Arial"/>
        </w:rPr>
        <w:t> </w:t>
      </w:r>
      <w:r w:rsidRPr="005868FC">
        <w:rPr>
          <w:rFonts w:ascii="Arial" w:hAnsi="Arial" w:cs="Arial"/>
        </w:rPr>
        <w:t xml:space="preserve">możliwości obejścia przepisów. W przypadku wykorzystania paliw nie tylko do celów grzewczych, ale również funkcji dodatkowych (np. przygotowanie żywności), wyeliminowane zostaną wątpliwości czy uchwała ma zastosowanie w tym zakresie. </w:t>
      </w:r>
    </w:p>
    <w:p w14:paraId="2BC42F1D" w14:textId="47F10502" w:rsidR="008C5B1E" w:rsidRPr="00340DAD" w:rsidRDefault="002C68CE" w:rsidP="00340DAD">
      <w:pPr>
        <w:tabs>
          <w:tab w:val="left" w:pos="709"/>
        </w:tabs>
        <w:ind w:right="-2"/>
        <w:jc w:val="both"/>
        <w:rPr>
          <w:rFonts w:ascii="Arial" w:hAnsi="Arial" w:cs="Arial"/>
        </w:rPr>
      </w:pPr>
      <w:r w:rsidRPr="005868FC">
        <w:rPr>
          <w:rFonts w:ascii="Arial" w:hAnsi="Arial" w:cs="Arial"/>
        </w:rPr>
        <w:t xml:space="preserve">W uchwale wyraźnie wskazano, że okres obowiązywania ograniczeń obejmuje cały rok kalendarzowy. </w:t>
      </w:r>
      <w:r w:rsidR="00752F6E">
        <w:rPr>
          <w:rFonts w:ascii="Arial" w:hAnsi="Arial" w:cs="Arial"/>
        </w:rPr>
        <w:t>Wynika to z konieczności</w:t>
      </w:r>
      <w:r w:rsidRPr="005868FC">
        <w:rPr>
          <w:rFonts w:ascii="Arial" w:hAnsi="Arial" w:cs="Arial"/>
        </w:rPr>
        <w:t xml:space="preserve"> zmniejszenia całorocznej emisji zanieczyszczeń.</w:t>
      </w:r>
    </w:p>
    <w:p w14:paraId="526F5707" w14:textId="0536D8A5" w:rsidR="005868FC" w:rsidRPr="005868FC" w:rsidRDefault="008C5B1E" w:rsidP="00924B05">
      <w:pPr>
        <w:tabs>
          <w:tab w:val="left" w:pos="709"/>
        </w:tabs>
        <w:spacing w:after="0"/>
        <w:jc w:val="both"/>
        <w:rPr>
          <w:rFonts w:ascii="Arial" w:hAnsi="Arial" w:cs="Arial"/>
        </w:rPr>
      </w:pPr>
      <w:r>
        <w:rPr>
          <w:rFonts w:ascii="Arial" w:hAnsi="Arial" w:cs="Arial"/>
        </w:rPr>
        <w:tab/>
      </w:r>
      <w:r w:rsidR="002C68CE" w:rsidRPr="005868FC">
        <w:rPr>
          <w:rFonts w:ascii="Arial" w:hAnsi="Arial" w:cs="Arial"/>
        </w:rPr>
        <w:t xml:space="preserve">Na podstawie art. 96 ust. 7 pkt 3 </w:t>
      </w:r>
      <w:r w:rsidR="00444066" w:rsidRPr="005868FC">
        <w:rPr>
          <w:rFonts w:ascii="Arial" w:hAnsi="Arial" w:cs="Arial"/>
        </w:rPr>
        <w:t xml:space="preserve">ustawy POŚ </w:t>
      </w:r>
      <w:r w:rsidR="002C68CE" w:rsidRPr="005868FC">
        <w:rPr>
          <w:rFonts w:ascii="Arial" w:hAnsi="Arial" w:cs="Arial"/>
        </w:rPr>
        <w:t xml:space="preserve">określono obowiązki podmiotów objętych uchwałą w zakresie niezbędnym do kontroli realizacji uchwały. </w:t>
      </w:r>
    </w:p>
    <w:p w14:paraId="193F43A4" w14:textId="5D4C4708" w:rsidR="00CB1F03" w:rsidRPr="005868FC" w:rsidRDefault="005868FC" w:rsidP="005868FC">
      <w:pPr>
        <w:tabs>
          <w:tab w:val="left" w:pos="709"/>
        </w:tabs>
        <w:ind w:right="-2"/>
        <w:jc w:val="both"/>
        <w:rPr>
          <w:rFonts w:ascii="Arial" w:hAnsi="Arial" w:cs="Arial"/>
        </w:rPr>
      </w:pPr>
      <w:r w:rsidRPr="005868FC">
        <w:rPr>
          <w:rFonts w:ascii="Arial" w:hAnsi="Arial" w:cs="Arial"/>
        </w:rPr>
        <w:t>Powyższe zostało określone w §</w:t>
      </w:r>
      <w:r w:rsidR="00444066">
        <w:rPr>
          <w:rFonts w:ascii="Arial" w:hAnsi="Arial" w:cs="Arial"/>
        </w:rPr>
        <w:t xml:space="preserve"> </w:t>
      </w:r>
      <w:r w:rsidRPr="005868FC">
        <w:rPr>
          <w:rFonts w:ascii="Arial" w:hAnsi="Arial" w:cs="Arial"/>
        </w:rPr>
        <w:t xml:space="preserve">7 niniejszej uchwały. </w:t>
      </w:r>
      <w:r w:rsidR="002C68CE" w:rsidRPr="005868FC">
        <w:rPr>
          <w:rFonts w:ascii="Arial" w:hAnsi="Arial" w:cs="Arial"/>
        </w:rPr>
        <w:t xml:space="preserve">Podmioty eksploatujące instalacje zostały zobowiązane do wykazania za pomocą dokumentów spełniania wymagań określonych w niniejszej uchwale poprzez przedstawienie dokumentów potwierdzających spełnienie tych wymagań. Katalog dokumentów, które mogą być wykorzystane w tym celu pozostaje otwarty, mogą to być w szczególności: dokumentacja z badań, dokumentacja techniczna urządzenia, </w:t>
      </w:r>
      <w:r w:rsidRPr="005868FC">
        <w:rPr>
          <w:rFonts w:ascii="Arial" w:hAnsi="Arial" w:cs="Arial"/>
        </w:rPr>
        <w:t xml:space="preserve">tabliczka znamionowa instalacji. </w:t>
      </w:r>
    </w:p>
    <w:p w14:paraId="4DB4163B" w14:textId="491AB18E" w:rsidR="008C5B1E" w:rsidRPr="00444066" w:rsidRDefault="00C91B3C" w:rsidP="00444066">
      <w:pPr>
        <w:spacing w:after="0"/>
        <w:ind w:firstLine="709"/>
        <w:jc w:val="both"/>
        <w:rPr>
          <w:rFonts w:eastAsia="Arial" w:cs="Arial"/>
        </w:rPr>
      </w:pPr>
      <w:r w:rsidRPr="00340DAD">
        <w:rPr>
          <w:rFonts w:ascii="Arial" w:hAnsi="Arial" w:cs="Arial"/>
          <w:iCs/>
        </w:rPr>
        <w:t>Zadania kontrolne i sankcje</w:t>
      </w:r>
      <w:r w:rsidRPr="005868FC">
        <w:rPr>
          <w:rFonts w:ascii="Arial" w:hAnsi="Arial" w:cs="Arial"/>
          <w:iCs/>
        </w:rPr>
        <w:t xml:space="preserve"> w zakresie przestrzegania przepisów wprowadzonych niniejszą uchwałą </w:t>
      </w:r>
      <w:r w:rsidR="00444066">
        <w:rPr>
          <w:rFonts w:ascii="Arial" w:hAnsi="Arial" w:cs="Arial"/>
          <w:iCs/>
        </w:rPr>
        <w:t xml:space="preserve">reguluje </w:t>
      </w:r>
      <w:r w:rsidR="00444066" w:rsidRPr="005868FC">
        <w:rPr>
          <w:rFonts w:ascii="Arial" w:hAnsi="Arial" w:cs="Arial"/>
        </w:rPr>
        <w:t>ustaw</w:t>
      </w:r>
      <w:r w:rsidR="00444066">
        <w:rPr>
          <w:rFonts w:ascii="Arial" w:hAnsi="Arial" w:cs="Arial"/>
        </w:rPr>
        <w:t>a</w:t>
      </w:r>
      <w:r w:rsidR="00444066" w:rsidRPr="005868FC">
        <w:rPr>
          <w:rFonts w:ascii="Arial" w:hAnsi="Arial" w:cs="Arial"/>
        </w:rPr>
        <w:t xml:space="preserve"> POŚ</w:t>
      </w:r>
      <w:r w:rsidR="00444066">
        <w:rPr>
          <w:rFonts w:ascii="Arial" w:hAnsi="Arial" w:cs="Arial"/>
        </w:rPr>
        <w:t>.</w:t>
      </w:r>
    </w:p>
    <w:p w14:paraId="5F78DCED" w14:textId="72053AF7" w:rsidR="00E27937" w:rsidRPr="00F80176" w:rsidRDefault="00D03390" w:rsidP="00F80176">
      <w:pPr>
        <w:spacing w:after="0"/>
        <w:jc w:val="both"/>
        <w:rPr>
          <w:rFonts w:ascii="Arial" w:hAnsi="Arial" w:cs="Arial"/>
          <w:iCs/>
        </w:rPr>
      </w:pPr>
      <w:r w:rsidRPr="00F80176">
        <w:rPr>
          <w:rFonts w:ascii="Arial" w:hAnsi="Arial" w:cs="Arial"/>
          <w:iCs/>
        </w:rPr>
        <w:t xml:space="preserve"> </w:t>
      </w:r>
    </w:p>
    <w:p w14:paraId="12EF1A43" w14:textId="75E02C74" w:rsidR="00E27937" w:rsidRPr="00F80176" w:rsidRDefault="00E27937" w:rsidP="00F80176">
      <w:pPr>
        <w:spacing w:after="0"/>
        <w:ind w:firstLine="709"/>
        <w:jc w:val="both"/>
        <w:rPr>
          <w:rFonts w:ascii="Arial" w:hAnsi="Arial" w:cs="Arial"/>
          <w:iCs/>
        </w:rPr>
      </w:pPr>
      <w:r w:rsidRPr="00F80176">
        <w:rPr>
          <w:rFonts w:ascii="Arial" w:hAnsi="Arial" w:cs="Arial"/>
        </w:rPr>
        <w:t xml:space="preserve">Uchwała wchodzi w życie </w:t>
      </w:r>
      <w:r w:rsidR="00B00B7D">
        <w:rPr>
          <w:rFonts w:ascii="Arial" w:hAnsi="Arial" w:cs="Arial"/>
        </w:rPr>
        <w:t>z dniem 1 maja 2021 r.</w:t>
      </w:r>
      <w:r w:rsidR="00B00B7D">
        <w:rPr>
          <w:rFonts w:ascii="Arial" w:hAnsi="Arial" w:cs="Arial"/>
          <w:iCs/>
        </w:rPr>
        <w:t>,</w:t>
      </w:r>
      <w:r w:rsidRPr="00F80176">
        <w:rPr>
          <w:rFonts w:ascii="Arial" w:hAnsi="Arial" w:cs="Arial"/>
          <w:iCs/>
        </w:rPr>
        <w:t xml:space="preserve"> aby w pierwszej kolejności wyeliminować spalanie paliw złej jakości</w:t>
      </w:r>
      <w:r w:rsidR="00B00B7D">
        <w:rPr>
          <w:rFonts w:ascii="Arial" w:hAnsi="Arial" w:cs="Arial"/>
          <w:iCs/>
        </w:rPr>
        <w:t xml:space="preserve">, określonych w </w:t>
      </w:r>
      <w:r w:rsidR="00B00B7D" w:rsidRPr="005868FC">
        <w:rPr>
          <w:rFonts w:ascii="Arial" w:hAnsi="Arial" w:cs="Arial"/>
        </w:rPr>
        <w:t>§</w:t>
      </w:r>
      <w:r w:rsidR="00B00B7D">
        <w:rPr>
          <w:rFonts w:ascii="Arial" w:hAnsi="Arial" w:cs="Arial"/>
        </w:rPr>
        <w:t xml:space="preserve"> 6.</w:t>
      </w:r>
      <w:r w:rsidRPr="00F80176">
        <w:rPr>
          <w:rFonts w:ascii="Arial" w:hAnsi="Arial" w:cs="Arial"/>
          <w:iCs/>
        </w:rPr>
        <w:t xml:space="preserve"> </w:t>
      </w:r>
    </w:p>
    <w:p w14:paraId="07F63174" w14:textId="4CCA58EC" w:rsidR="00B00B7D" w:rsidRDefault="00E27937" w:rsidP="00F80176">
      <w:pPr>
        <w:tabs>
          <w:tab w:val="left" w:pos="709"/>
        </w:tabs>
        <w:spacing w:after="0"/>
        <w:jc w:val="both"/>
        <w:rPr>
          <w:rFonts w:ascii="Arial" w:hAnsi="Arial" w:cs="Arial"/>
          <w:iCs/>
        </w:rPr>
      </w:pPr>
      <w:r w:rsidRPr="00F80176">
        <w:rPr>
          <w:rFonts w:ascii="Arial" w:hAnsi="Arial" w:cs="Arial"/>
          <w:iCs/>
        </w:rPr>
        <w:t>W następnych latach, sukcesywnie wprowadza się ograniczenia w stosowaniu instalacji</w:t>
      </w:r>
      <w:r w:rsidR="00444066">
        <w:rPr>
          <w:rFonts w:ascii="Arial" w:hAnsi="Arial" w:cs="Arial"/>
          <w:iCs/>
        </w:rPr>
        <w:t>.</w:t>
      </w:r>
      <w:r w:rsidRPr="00F80176">
        <w:rPr>
          <w:rFonts w:ascii="Arial" w:hAnsi="Arial" w:cs="Arial"/>
          <w:iCs/>
        </w:rPr>
        <w:t xml:space="preserve"> </w:t>
      </w:r>
      <w:r w:rsidR="00444066">
        <w:rPr>
          <w:rFonts w:ascii="Arial" w:hAnsi="Arial" w:cs="Arial"/>
          <w:lang w:eastAsia="pl-PL"/>
        </w:rPr>
        <w:t>Do </w:t>
      </w:r>
      <w:r w:rsidRPr="00F80176">
        <w:rPr>
          <w:rFonts w:ascii="Arial" w:hAnsi="Arial" w:cs="Arial"/>
          <w:lang w:eastAsia="pl-PL"/>
        </w:rPr>
        <w:t>dnia 1 stycznia 2024 r.</w:t>
      </w:r>
      <w:r w:rsidR="00444066">
        <w:rPr>
          <w:rFonts w:ascii="Arial" w:hAnsi="Arial" w:cs="Arial"/>
          <w:lang w:eastAsia="pl-PL"/>
        </w:rPr>
        <w:t xml:space="preserve"> wyeliminowane powinny zostać kotły bezklasowe oraz </w:t>
      </w:r>
      <w:r w:rsidR="0074693B">
        <w:rPr>
          <w:rFonts w:ascii="Arial" w:hAnsi="Arial" w:cs="Arial"/>
          <w:iCs/>
        </w:rPr>
        <w:t xml:space="preserve">instalacje klasyfikowane </w:t>
      </w:r>
      <w:r w:rsidR="00B00B7D">
        <w:rPr>
          <w:rFonts w:ascii="Arial" w:hAnsi="Arial" w:cs="Arial"/>
          <w:iCs/>
        </w:rPr>
        <w:t>do 1 i 2</w:t>
      </w:r>
      <w:r w:rsidR="00F80176" w:rsidRPr="00F80176">
        <w:rPr>
          <w:rFonts w:ascii="Arial" w:hAnsi="Arial" w:cs="Arial"/>
          <w:iCs/>
        </w:rPr>
        <w:t xml:space="preserve"> klas</w:t>
      </w:r>
      <w:r w:rsidR="0074693B">
        <w:rPr>
          <w:rFonts w:ascii="Arial" w:hAnsi="Arial" w:cs="Arial"/>
          <w:iCs/>
        </w:rPr>
        <w:t>y według normy PN-EN 303-5:2012, natomiast</w:t>
      </w:r>
      <w:r w:rsidR="00F80176" w:rsidRPr="00F80176">
        <w:rPr>
          <w:rFonts w:ascii="Arial" w:hAnsi="Arial" w:cs="Arial"/>
          <w:iCs/>
        </w:rPr>
        <w:t xml:space="preserve"> </w:t>
      </w:r>
      <w:r w:rsidRPr="00F80176">
        <w:rPr>
          <w:rFonts w:ascii="Arial" w:hAnsi="Arial" w:cs="Arial"/>
          <w:lang w:eastAsia="pl-PL"/>
        </w:rPr>
        <w:t>od dnia 1 stycznia 2027 r.</w:t>
      </w:r>
      <w:r w:rsidRPr="00F80176">
        <w:rPr>
          <w:rFonts w:ascii="Arial" w:hAnsi="Arial" w:cs="Arial"/>
          <w:iCs/>
        </w:rPr>
        <w:t xml:space="preserve"> </w:t>
      </w:r>
      <w:r w:rsidR="00B00B7D">
        <w:rPr>
          <w:rFonts w:ascii="Arial" w:hAnsi="Arial" w:cs="Arial"/>
          <w:lang w:eastAsia="pl-PL"/>
        </w:rPr>
        <w:t xml:space="preserve">wyeliminowane powinny zostać kotły </w:t>
      </w:r>
      <w:r w:rsidR="00B00B7D">
        <w:rPr>
          <w:rFonts w:ascii="Arial" w:hAnsi="Arial" w:cs="Arial"/>
          <w:iCs/>
        </w:rPr>
        <w:t>klasyfikowane do 3 i 4</w:t>
      </w:r>
      <w:r w:rsidR="00B00B7D" w:rsidRPr="00F80176">
        <w:rPr>
          <w:rFonts w:ascii="Arial" w:hAnsi="Arial" w:cs="Arial"/>
          <w:iCs/>
        </w:rPr>
        <w:t xml:space="preserve"> klas</w:t>
      </w:r>
      <w:r w:rsidR="00B00B7D">
        <w:rPr>
          <w:rFonts w:ascii="Arial" w:hAnsi="Arial" w:cs="Arial"/>
          <w:iCs/>
        </w:rPr>
        <w:t>y według ww. normy.</w:t>
      </w:r>
    </w:p>
    <w:p w14:paraId="486810EB" w14:textId="61204360" w:rsidR="00F80176" w:rsidRPr="00F80176" w:rsidRDefault="00B00B7D" w:rsidP="00F80176">
      <w:pPr>
        <w:tabs>
          <w:tab w:val="left" w:pos="709"/>
        </w:tabs>
        <w:spacing w:after="0"/>
        <w:jc w:val="both"/>
        <w:rPr>
          <w:rFonts w:ascii="Arial" w:hAnsi="Arial" w:cs="Arial"/>
        </w:rPr>
      </w:pPr>
      <w:r>
        <w:rPr>
          <w:rFonts w:ascii="Arial" w:hAnsi="Arial" w:cs="Arial"/>
          <w:iCs/>
        </w:rPr>
        <w:t xml:space="preserve">Do dnia 1 stycznia 2030 roku </w:t>
      </w:r>
      <w:r w:rsidR="00F80176" w:rsidRPr="00F80176">
        <w:rPr>
          <w:rFonts w:ascii="Arial" w:hAnsi="Arial" w:cs="Arial"/>
          <w:iCs/>
        </w:rPr>
        <w:t xml:space="preserve">wszystkie </w:t>
      </w:r>
      <w:r w:rsidR="00D03390" w:rsidRPr="00F80176">
        <w:rPr>
          <w:rFonts w:ascii="Arial" w:hAnsi="Arial" w:cs="Arial"/>
          <w:iCs/>
        </w:rPr>
        <w:t xml:space="preserve">kotły na paliwa stałe </w:t>
      </w:r>
      <w:r>
        <w:rPr>
          <w:rFonts w:ascii="Arial" w:hAnsi="Arial" w:cs="Arial"/>
          <w:iCs/>
        </w:rPr>
        <w:t>będą musiały</w:t>
      </w:r>
      <w:r w:rsidR="00D03390" w:rsidRPr="00F80176">
        <w:rPr>
          <w:rFonts w:ascii="Arial" w:hAnsi="Arial" w:cs="Arial"/>
          <w:iCs/>
        </w:rPr>
        <w:t xml:space="preserve"> spełniać wymagania w zakresie sezonowej sprawności i emisji zanieczyszczeń określone w </w:t>
      </w:r>
      <w:r w:rsidR="008C5B1E" w:rsidRPr="00F80176">
        <w:rPr>
          <w:rFonts w:ascii="Arial" w:hAnsi="Arial" w:cs="Arial"/>
          <w:iCs/>
        </w:rPr>
        <w:t>rozporządzeniu</w:t>
      </w:r>
      <w:r w:rsidR="002B3CE9" w:rsidRPr="00F80176">
        <w:rPr>
          <w:rFonts w:ascii="Arial" w:hAnsi="Arial" w:cs="Arial"/>
          <w:iCs/>
        </w:rPr>
        <w:t xml:space="preserve"> komisji UE 2015/1189. </w:t>
      </w:r>
    </w:p>
    <w:p w14:paraId="73B4C08A" w14:textId="77777777" w:rsidR="00F80176" w:rsidRDefault="00F80176" w:rsidP="00F80176">
      <w:pPr>
        <w:spacing w:after="0"/>
        <w:ind w:firstLine="709"/>
        <w:jc w:val="both"/>
        <w:rPr>
          <w:rFonts w:ascii="Arial" w:hAnsi="Arial" w:cs="Arial"/>
        </w:rPr>
      </w:pPr>
    </w:p>
    <w:p w14:paraId="53501BF7" w14:textId="3BA812B0" w:rsidR="00F80176" w:rsidRDefault="00F80176" w:rsidP="009837C2">
      <w:pPr>
        <w:spacing w:after="0"/>
        <w:ind w:firstLine="709"/>
        <w:jc w:val="both"/>
        <w:rPr>
          <w:rFonts w:ascii="Arial" w:hAnsi="Arial" w:cs="Arial"/>
          <w:iCs/>
        </w:rPr>
      </w:pPr>
      <w:r>
        <w:rPr>
          <w:rFonts w:ascii="Arial" w:hAnsi="Arial" w:cs="Arial"/>
        </w:rPr>
        <w:t xml:space="preserve">W </w:t>
      </w:r>
      <w:r w:rsidRPr="008A3AEE">
        <w:rPr>
          <w:rFonts w:ascii="Arial" w:hAnsi="Arial" w:cs="Arial"/>
        </w:rPr>
        <w:t>§</w:t>
      </w:r>
      <w:r w:rsidR="0074693B">
        <w:rPr>
          <w:rFonts w:ascii="Arial" w:hAnsi="Arial" w:cs="Arial"/>
        </w:rPr>
        <w:t xml:space="preserve"> </w:t>
      </w:r>
      <w:r w:rsidRPr="008A3AEE">
        <w:rPr>
          <w:rFonts w:ascii="Arial" w:hAnsi="Arial" w:cs="Arial"/>
        </w:rPr>
        <w:t>5</w:t>
      </w:r>
      <w:r w:rsidRPr="00874C23">
        <w:rPr>
          <w:rFonts w:ascii="Arial" w:hAnsi="Arial" w:cs="Arial"/>
          <w:iCs/>
        </w:rPr>
        <w:t xml:space="preserve"> </w:t>
      </w:r>
      <w:r w:rsidR="00E01033">
        <w:rPr>
          <w:rFonts w:ascii="Arial" w:hAnsi="Arial" w:cs="Arial"/>
          <w:iCs/>
        </w:rPr>
        <w:t>pkt</w:t>
      </w:r>
      <w:r w:rsidR="009837C2">
        <w:rPr>
          <w:rFonts w:ascii="Arial" w:hAnsi="Arial" w:cs="Arial"/>
          <w:iCs/>
        </w:rPr>
        <w:t xml:space="preserve"> 1 </w:t>
      </w:r>
      <w:r w:rsidRPr="00874C23">
        <w:rPr>
          <w:rFonts w:ascii="Arial" w:hAnsi="Arial" w:cs="Arial"/>
          <w:iCs/>
        </w:rPr>
        <w:t>zakazuje się</w:t>
      </w:r>
      <w:r w:rsidRPr="00F80176">
        <w:rPr>
          <w:rFonts w:ascii="Arial" w:hAnsi="Arial" w:cs="Arial"/>
        </w:rPr>
        <w:t xml:space="preserve"> </w:t>
      </w:r>
      <w:r>
        <w:rPr>
          <w:rFonts w:ascii="Arial" w:hAnsi="Arial" w:cs="Arial"/>
        </w:rPr>
        <w:t>w</w:t>
      </w:r>
      <w:r w:rsidRPr="008A3AEE">
        <w:rPr>
          <w:rFonts w:ascii="Arial" w:hAnsi="Arial" w:cs="Arial"/>
        </w:rPr>
        <w:t>e wszystkich nowobudowanych budynkach, dla których proces decyzyjny prowadzący do wydania pozwolenia budowlanego rozpoczął się po dniu wejścia w życie uchwały, użytkowania</w:t>
      </w:r>
      <w:r w:rsidRPr="008A3AEE">
        <w:rPr>
          <w:rFonts w:ascii="Arial" w:hAnsi="Arial" w:cs="Arial"/>
          <w:color w:val="31849B" w:themeColor="accent5" w:themeShade="BF"/>
        </w:rPr>
        <w:t xml:space="preserve"> </w:t>
      </w:r>
      <w:r w:rsidRPr="008A3AEE">
        <w:rPr>
          <w:rFonts w:ascii="Arial" w:hAnsi="Arial" w:cs="Arial"/>
        </w:rPr>
        <w:t>instalacji</w:t>
      </w:r>
      <w:r w:rsidR="00B5009D" w:rsidRPr="00B5009D">
        <w:rPr>
          <w:rFonts w:ascii="Arial" w:hAnsi="Arial" w:cs="Arial"/>
        </w:rPr>
        <w:t xml:space="preserve"> </w:t>
      </w:r>
      <w:r w:rsidR="00B5009D" w:rsidRPr="008A3AEE">
        <w:rPr>
          <w:rFonts w:ascii="Arial" w:hAnsi="Arial" w:cs="Arial"/>
        </w:rPr>
        <w:t>na paliwo stałe</w:t>
      </w:r>
      <w:r w:rsidRPr="008A3AEE">
        <w:rPr>
          <w:rFonts w:ascii="Arial" w:hAnsi="Arial" w:cs="Arial"/>
        </w:rPr>
        <w:t>, o których mowa w §</w:t>
      </w:r>
      <w:r w:rsidR="00B5009D">
        <w:rPr>
          <w:rFonts w:ascii="Arial" w:hAnsi="Arial" w:cs="Arial"/>
        </w:rPr>
        <w:t xml:space="preserve"> </w:t>
      </w:r>
      <w:r w:rsidRPr="008A3AEE">
        <w:rPr>
          <w:rFonts w:ascii="Arial" w:hAnsi="Arial" w:cs="Arial"/>
        </w:rPr>
        <w:t>2</w:t>
      </w:r>
      <w:r w:rsidR="00924B05">
        <w:rPr>
          <w:rFonts w:ascii="Arial" w:hAnsi="Arial" w:cs="Arial"/>
        </w:rPr>
        <w:t xml:space="preserve"> ust. 1</w:t>
      </w:r>
      <w:r w:rsidR="00B5009D">
        <w:rPr>
          <w:rFonts w:ascii="Arial" w:hAnsi="Arial" w:cs="Arial"/>
        </w:rPr>
        <w:t> </w:t>
      </w:r>
      <w:r w:rsidR="00924B05">
        <w:rPr>
          <w:rFonts w:ascii="Arial" w:hAnsi="Arial" w:cs="Arial"/>
        </w:rPr>
        <w:t>i</w:t>
      </w:r>
      <w:r w:rsidR="00B5009D">
        <w:rPr>
          <w:rFonts w:ascii="Arial" w:hAnsi="Arial" w:cs="Arial"/>
        </w:rPr>
        <w:t> </w:t>
      </w:r>
      <w:r w:rsidR="00924B05">
        <w:rPr>
          <w:rFonts w:ascii="Arial" w:hAnsi="Arial" w:cs="Arial"/>
        </w:rPr>
        <w:t>2</w:t>
      </w:r>
      <w:r w:rsidRPr="008A3AEE">
        <w:rPr>
          <w:rFonts w:ascii="Arial" w:hAnsi="Arial" w:cs="Arial"/>
        </w:rPr>
        <w:t>, jeżeli istnieje możliwość podłączenie do sieci ciepłowniczej</w:t>
      </w:r>
      <w:r w:rsidR="00B00B7D">
        <w:rPr>
          <w:rFonts w:ascii="Arial" w:hAnsi="Arial" w:cs="Arial"/>
        </w:rPr>
        <w:t xml:space="preserve"> lub gazowej</w:t>
      </w:r>
      <w:r w:rsidRPr="008A3AEE">
        <w:rPr>
          <w:rFonts w:ascii="Arial" w:hAnsi="Arial" w:cs="Arial"/>
        </w:rPr>
        <w:t xml:space="preserve">, która znajduje </w:t>
      </w:r>
      <w:r w:rsidRPr="008A3AEE">
        <w:rPr>
          <w:rFonts w:ascii="Arial" w:hAnsi="Arial" w:cs="Arial"/>
        </w:rPr>
        <w:lastRenderedPageBreak/>
        <w:t>się na terenie bezpośrednio przylegającym do działki Inwestora.</w:t>
      </w:r>
      <w:r w:rsidR="009837C2">
        <w:rPr>
          <w:rFonts w:ascii="Arial" w:hAnsi="Arial" w:cs="Arial"/>
          <w:color w:val="31849B" w:themeColor="accent5" w:themeShade="BF"/>
        </w:rPr>
        <w:t xml:space="preserve"> </w:t>
      </w:r>
      <w:r w:rsidRPr="00874C23">
        <w:rPr>
          <w:rFonts w:ascii="Arial" w:hAnsi="Arial" w:cs="Arial"/>
          <w:iCs/>
        </w:rPr>
        <w:t>Oznacza</w:t>
      </w:r>
      <w:r>
        <w:rPr>
          <w:rFonts w:ascii="Arial" w:hAnsi="Arial" w:cs="Arial"/>
          <w:iCs/>
        </w:rPr>
        <w:t xml:space="preserve"> </w:t>
      </w:r>
      <w:r w:rsidRPr="00874C23">
        <w:rPr>
          <w:rFonts w:ascii="Arial" w:hAnsi="Arial" w:cs="Arial"/>
          <w:iCs/>
        </w:rPr>
        <w:t xml:space="preserve">to w praktyce, </w:t>
      </w:r>
      <w:r>
        <w:rPr>
          <w:rFonts w:ascii="Arial" w:hAnsi="Arial" w:cs="Arial"/>
          <w:iCs/>
        </w:rPr>
        <w:t xml:space="preserve">że </w:t>
      </w:r>
      <w:r w:rsidRPr="00874C23">
        <w:rPr>
          <w:rFonts w:ascii="Arial" w:hAnsi="Arial" w:cs="Arial"/>
          <w:iCs/>
        </w:rPr>
        <w:t>wszystki</w:t>
      </w:r>
      <w:r>
        <w:rPr>
          <w:rFonts w:ascii="Arial" w:hAnsi="Arial" w:cs="Arial"/>
          <w:iCs/>
        </w:rPr>
        <w:t xml:space="preserve">e </w:t>
      </w:r>
      <w:r w:rsidRPr="00874C23">
        <w:rPr>
          <w:rFonts w:ascii="Arial" w:hAnsi="Arial" w:cs="Arial"/>
          <w:iCs/>
        </w:rPr>
        <w:t>budynki, które</w:t>
      </w:r>
      <w:r>
        <w:rPr>
          <w:rFonts w:ascii="Arial" w:hAnsi="Arial" w:cs="Arial"/>
          <w:iCs/>
        </w:rPr>
        <w:t xml:space="preserve"> </w:t>
      </w:r>
      <w:r w:rsidRPr="00874C23">
        <w:rPr>
          <w:rFonts w:ascii="Arial" w:hAnsi="Arial" w:cs="Arial"/>
          <w:iCs/>
        </w:rPr>
        <w:t>znajdują</w:t>
      </w:r>
      <w:r>
        <w:rPr>
          <w:rFonts w:ascii="Arial" w:hAnsi="Arial" w:cs="Arial"/>
          <w:iCs/>
        </w:rPr>
        <w:t xml:space="preserve"> </w:t>
      </w:r>
      <w:r w:rsidRPr="00AD2368">
        <w:rPr>
          <w:rFonts w:ascii="Arial" w:hAnsi="Arial" w:cs="Arial"/>
          <w:iCs/>
        </w:rPr>
        <w:t xml:space="preserve">się </w:t>
      </w:r>
      <w:r w:rsidR="0074693B">
        <w:rPr>
          <w:rFonts w:ascii="Arial" w:hAnsi="Arial" w:cs="Arial"/>
        </w:rPr>
        <w:t>w zasięgu oddziaływania sieci cieplnej</w:t>
      </w:r>
      <w:r w:rsidR="00B00B7D">
        <w:rPr>
          <w:rFonts w:ascii="Arial" w:hAnsi="Arial" w:cs="Arial"/>
        </w:rPr>
        <w:t xml:space="preserve"> lub gazowej</w:t>
      </w:r>
      <w:r w:rsidR="0074693B">
        <w:rPr>
          <w:rFonts w:ascii="Arial" w:hAnsi="Arial" w:cs="Arial"/>
        </w:rPr>
        <w:t xml:space="preserve"> będą musiały zostać do niej podłączone</w:t>
      </w:r>
      <w:r w:rsidR="00AD2368" w:rsidRPr="00AD2368">
        <w:rPr>
          <w:rFonts w:ascii="Arial" w:hAnsi="Arial" w:cs="Arial"/>
        </w:rPr>
        <w:t>.</w:t>
      </w:r>
      <w:r w:rsidRPr="00AD2368">
        <w:rPr>
          <w:rFonts w:ascii="Arial" w:hAnsi="Arial" w:cs="Arial"/>
          <w:iCs/>
        </w:rPr>
        <w:t xml:space="preserve"> Nie wyklucza to jednak stosowania instalacji OZE, ogrzewania elektrycznego, olejowego i innych nieemisyjnych źródeł ciepła oraz instalacji spełniających wymagania ekoprojektu do czasu ustania ich żywotności.</w:t>
      </w:r>
      <w:r w:rsidR="00B00B7D">
        <w:rPr>
          <w:rFonts w:ascii="Arial" w:hAnsi="Arial" w:cs="Arial"/>
          <w:iCs/>
        </w:rPr>
        <w:t xml:space="preserve"> Jako rozpoczęcie procesu </w:t>
      </w:r>
      <w:r w:rsidR="00B00B7D" w:rsidRPr="008A3AEE">
        <w:rPr>
          <w:rFonts w:ascii="Arial" w:hAnsi="Arial" w:cs="Arial"/>
        </w:rPr>
        <w:t>decyzyjn</w:t>
      </w:r>
      <w:r w:rsidR="00B00B7D">
        <w:rPr>
          <w:rFonts w:ascii="Arial" w:hAnsi="Arial" w:cs="Arial"/>
        </w:rPr>
        <w:t>ego</w:t>
      </w:r>
      <w:r w:rsidR="00B00B7D" w:rsidRPr="008A3AEE">
        <w:rPr>
          <w:rFonts w:ascii="Arial" w:hAnsi="Arial" w:cs="Arial"/>
        </w:rPr>
        <w:t xml:space="preserve"> prowadząc</w:t>
      </w:r>
      <w:r w:rsidR="00B00B7D">
        <w:rPr>
          <w:rFonts w:ascii="Arial" w:hAnsi="Arial" w:cs="Arial"/>
        </w:rPr>
        <w:t>ego</w:t>
      </w:r>
      <w:r w:rsidR="00B00B7D" w:rsidRPr="008A3AEE">
        <w:rPr>
          <w:rFonts w:ascii="Arial" w:hAnsi="Arial" w:cs="Arial"/>
        </w:rPr>
        <w:t xml:space="preserve"> do wydania pozwolenia budowlanego</w:t>
      </w:r>
      <w:r w:rsidR="00B00B7D">
        <w:rPr>
          <w:rFonts w:ascii="Arial" w:hAnsi="Arial" w:cs="Arial"/>
        </w:rPr>
        <w:t xml:space="preserve">, uznać należy dzień wystąpienia inwestora o wypis i </w:t>
      </w:r>
      <w:proofErr w:type="spellStart"/>
      <w:r w:rsidR="00B00B7D">
        <w:rPr>
          <w:rFonts w:ascii="Arial" w:hAnsi="Arial" w:cs="Arial"/>
        </w:rPr>
        <w:t>wyrys</w:t>
      </w:r>
      <w:proofErr w:type="spellEnd"/>
      <w:r w:rsidR="00B00B7D">
        <w:rPr>
          <w:rFonts w:ascii="Arial" w:hAnsi="Arial" w:cs="Arial"/>
        </w:rPr>
        <w:t xml:space="preserve"> z miejscowego planu zagospodarowania przestrzennego lub jeśli takiego nie ma o warunki zabudowy dla  terenu planowanej inwestycji.</w:t>
      </w:r>
    </w:p>
    <w:p w14:paraId="15E60BE3" w14:textId="41BA57EE" w:rsidR="009837C2" w:rsidRPr="0074693B" w:rsidRDefault="009837C2" w:rsidP="0074693B">
      <w:pPr>
        <w:spacing w:after="0"/>
        <w:jc w:val="both"/>
        <w:rPr>
          <w:rFonts w:ascii="Arial" w:hAnsi="Arial" w:cs="Arial"/>
        </w:rPr>
      </w:pPr>
      <w:r>
        <w:rPr>
          <w:rFonts w:ascii="Arial" w:hAnsi="Arial" w:cs="Arial"/>
          <w:iCs/>
        </w:rPr>
        <w:t xml:space="preserve">Ponadto </w:t>
      </w:r>
      <w:r w:rsidRPr="008A3AEE">
        <w:rPr>
          <w:rFonts w:ascii="Arial" w:hAnsi="Arial" w:cs="Arial"/>
        </w:rPr>
        <w:t>§</w:t>
      </w:r>
      <w:r w:rsidR="0074693B">
        <w:rPr>
          <w:rFonts w:ascii="Arial" w:hAnsi="Arial" w:cs="Arial"/>
        </w:rPr>
        <w:t xml:space="preserve"> </w:t>
      </w:r>
      <w:r w:rsidRPr="008A3AEE">
        <w:rPr>
          <w:rFonts w:ascii="Arial" w:hAnsi="Arial" w:cs="Arial"/>
        </w:rPr>
        <w:t>5</w:t>
      </w:r>
      <w:r>
        <w:rPr>
          <w:rFonts w:ascii="Arial" w:hAnsi="Arial" w:cs="Arial"/>
        </w:rPr>
        <w:t xml:space="preserve"> </w:t>
      </w:r>
      <w:r w:rsidR="00E01033">
        <w:rPr>
          <w:rFonts w:ascii="Arial" w:hAnsi="Arial" w:cs="Arial"/>
          <w:iCs/>
        </w:rPr>
        <w:t>pkt</w:t>
      </w:r>
      <w:r>
        <w:rPr>
          <w:rFonts w:ascii="Arial" w:hAnsi="Arial" w:cs="Arial"/>
          <w:iCs/>
        </w:rPr>
        <w:t xml:space="preserve"> </w:t>
      </w:r>
      <w:r w:rsidR="00924B05">
        <w:rPr>
          <w:rFonts w:ascii="Arial" w:hAnsi="Arial" w:cs="Arial"/>
          <w:iCs/>
        </w:rPr>
        <w:t>2</w:t>
      </w:r>
      <w:r>
        <w:rPr>
          <w:rFonts w:ascii="Arial" w:hAnsi="Arial" w:cs="Arial"/>
          <w:iCs/>
        </w:rPr>
        <w:t xml:space="preserve"> nakazuje </w:t>
      </w:r>
      <w:r>
        <w:rPr>
          <w:rFonts w:ascii="Arial" w:hAnsi="Arial" w:cs="Arial"/>
        </w:rPr>
        <w:t>w</w:t>
      </w:r>
      <w:r w:rsidRPr="008A3AEE">
        <w:rPr>
          <w:rFonts w:ascii="Arial" w:hAnsi="Arial" w:cs="Arial"/>
        </w:rPr>
        <w:t>e wszystkich nowobudowanych budynkach, dla których proces decyzyjny prowadzący do wydania pozwolenia budowlanego rozpoczął się po dniu wejścia w</w:t>
      </w:r>
      <w:r w:rsidR="0074693B">
        <w:rPr>
          <w:rFonts w:ascii="Arial" w:hAnsi="Arial" w:cs="Arial"/>
        </w:rPr>
        <w:t> </w:t>
      </w:r>
      <w:r w:rsidRPr="008A3AEE">
        <w:rPr>
          <w:rFonts w:ascii="Arial" w:hAnsi="Arial" w:cs="Arial"/>
        </w:rPr>
        <w:t>życie uchwały</w:t>
      </w:r>
      <w:r w:rsidR="00B00B7D">
        <w:rPr>
          <w:rFonts w:ascii="Arial" w:hAnsi="Arial" w:cs="Arial"/>
        </w:rPr>
        <w:t xml:space="preserve"> (wyjaśnienie jak powyżej)</w:t>
      </w:r>
      <w:r w:rsidR="00924B05">
        <w:rPr>
          <w:rFonts w:ascii="Arial" w:hAnsi="Arial" w:cs="Arial"/>
        </w:rPr>
        <w:t>, instalację urządzeń, o</w:t>
      </w:r>
      <w:r w:rsidR="00924B05" w:rsidRPr="008A3AEE">
        <w:rPr>
          <w:rFonts w:ascii="Arial" w:hAnsi="Arial" w:cs="Arial"/>
        </w:rPr>
        <w:t xml:space="preserve"> których mowa w §</w:t>
      </w:r>
      <w:r w:rsidR="00924B05">
        <w:rPr>
          <w:rFonts w:ascii="Arial" w:hAnsi="Arial" w:cs="Arial"/>
        </w:rPr>
        <w:t xml:space="preserve"> </w:t>
      </w:r>
      <w:r w:rsidR="00924B05" w:rsidRPr="008A3AEE">
        <w:rPr>
          <w:rFonts w:ascii="Arial" w:hAnsi="Arial" w:cs="Arial"/>
        </w:rPr>
        <w:t>2</w:t>
      </w:r>
      <w:r w:rsidR="00924B05">
        <w:rPr>
          <w:rFonts w:ascii="Arial" w:hAnsi="Arial" w:cs="Arial"/>
        </w:rPr>
        <w:t xml:space="preserve"> ust. 3 </w:t>
      </w:r>
      <w:r w:rsidR="00924B05" w:rsidRPr="0074693B">
        <w:rPr>
          <w:rFonts w:ascii="Arial" w:hAnsi="Arial" w:cs="Arial"/>
        </w:rPr>
        <w:t xml:space="preserve">spełniających wymagania określone </w:t>
      </w:r>
      <w:r w:rsidR="00E01033">
        <w:rPr>
          <w:rFonts w:ascii="Arial" w:hAnsi="Arial" w:cs="Arial"/>
        </w:rPr>
        <w:t xml:space="preserve">w </w:t>
      </w:r>
      <w:r w:rsidR="00924B05" w:rsidRPr="0074693B">
        <w:rPr>
          <w:rFonts w:ascii="Arial" w:hAnsi="Arial" w:cs="Arial"/>
        </w:rPr>
        <w:t>załącznik</w:t>
      </w:r>
      <w:r w:rsidR="00E01033">
        <w:rPr>
          <w:rFonts w:ascii="Arial" w:hAnsi="Arial" w:cs="Arial"/>
        </w:rPr>
        <w:t>u</w:t>
      </w:r>
      <w:r w:rsidR="00924B05" w:rsidRPr="0074693B">
        <w:rPr>
          <w:rFonts w:ascii="Arial" w:hAnsi="Arial" w:cs="Arial"/>
        </w:rPr>
        <w:t xml:space="preserve"> II do rozporządzenia Komisji (UE) 2015/1185 z dnia 24 kwietnia 2015 r. w sprawie wykonania dyrektywy Parlamentu Europejskiego i Rady 2009/125/WE w</w:t>
      </w:r>
      <w:r w:rsidR="0074693B">
        <w:rPr>
          <w:rFonts w:ascii="Arial" w:hAnsi="Arial" w:cs="Arial"/>
        </w:rPr>
        <w:t> </w:t>
      </w:r>
      <w:r w:rsidR="00924B05" w:rsidRPr="0074693B">
        <w:rPr>
          <w:rFonts w:ascii="Arial" w:hAnsi="Arial" w:cs="Arial"/>
        </w:rPr>
        <w:t>odniesieniu do wymogów dotyczących ekoprojektu dla miejscowych ogrzewaczy pomieszczeń na paliwo stałe.</w:t>
      </w:r>
    </w:p>
    <w:p w14:paraId="4CD8334C" w14:textId="77777777" w:rsidR="00C91B3C" w:rsidRDefault="00C91B3C" w:rsidP="007C14DA">
      <w:pPr>
        <w:spacing w:after="0"/>
        <w:jc w:val="both"/>
        <w:rPr>
          <w:rFonts w:ascii="Arial" w:hAnsi="Arial" w:cs="Arial"/>
          <w:iCs/>
        </w:rPr>
      </w:pPr>
    </w:p>
    <w:p w14:paraId="0F8FC005" w14:textId="77777777" w:rsidR="00B5009D" w:rsidRDefault="00C91B3C" w:rsidP="00E55C04">
      <w:pPr>
        <w:spacing w:after="0"/>
        <w:ind w:firstLine="709"/>
        <w:jc w:val="both"/>
        <w:rPr>
          <w:rFonts w:ascii="Arial" w:hAnsi="Arial" w:cs="Arial"/>
          <w:iCs/>
        </w:rPr>
      </w:pPr>
      <w:r w:rsidRPr="00E55C04">
        <w:rPr>
          <w:rFonts w:ascii="Arial" w:hAnsi="Arial" w:cs="Arial"/>
          <w:iCs/>
        </w:rPr>
        <w:t xml:space="preserve">Zgodnie z art. 96 ust. 2 </w:t>
      </w:r>
      <w:r w:rsidRPr="00C91B3C">
        <w:rPr>
          <w:rFonts w:ascii="Arial" w:hAnsi="Arial" w:cs="Arial"/>
          <w:iCs/>
        </w:rPr>
        <w:t>ustawy P</w:t>
      </w:r>
      <w:r w:rsidR="00B5009D">
        <w:rPr>
          <w:rFonts w:ascii="Arial" w:hAnsi="Arial" w:cs="Arial"/>
          <w:iCs/>
        </w:rPr>
        <w:t>OŚ</w:t>
      </w:r>
      <w:r w:rsidRPr="00C91B3C">
        <w:rPr>
          <w:rFonts w:ascii="Arial" w:hAnsi="Arial" w:cs="Arial"/>
          <w:iCs/>
        </w:rPr>
        <w:t xml:space="preserve"> projekt uchwały sejmiku województwa w sprawie wprowadzania ograniczeń i zakazów w zakresie eksploatacji instalacji, w których następuje spalanie paliw opracowuje zarząd województwa i przedstawia go do zaopiniowania właściwym miejscowo organom, tj. wójtom, burmistrzom lub prezydentom miast, a także starostom. Organy są zobowiązane do wydania opinii w terminie miesiąca od dnia otrzymania projektu uchwały, przy czym niewydanie opinii w tym terminie oznacza akceptację przedłożonego projektu. </w:t>
      </w:r>
    </w:p>
    <w:p w14:paraId="70952FD0" w14:textId="22F0FE3E" w:rsidR="00C91B3C" w:rsidRDefault="00C91B3C" w:rsidP="00B5009D">
      <w:pPr>
        <w:spacing w:after="0"/>
        <w:jc w:val="both"/>
        <w:rPr>
          <w:rFonts w:ascii="Arial" w:hAnsi="Arial" w:cs="Arial"/>
          <w:iCs/>
        </w:rPr>
      </w:pPr>
      <w:r w:rsidRPr="00C91B3C">
        <w:rPr>
          <w:rFonts w:ascii="Arial" w:hAnsi="Arial" w:cs="Arial"/>
          <w:iCs/>
        </w:rPr>
        <w:t xml:space="preserve">W ramach procesu opiniowania, na pismo skierowane do właściwych organów, odpowiedziało </w:t>
      </w:r>
      <w:r w:rsidR="00F609CE">
        <w:rPr>
          <w:rFonts w:ascii="Arial" w:hAnsi="Arial" w:cs="Arial"/>
          <w:iCs/>
        </w:rPr>
        <w:t xml:space="preserve">12 miast, </w:t>
      </w:r>
      <w:r w:rsidRPr="00C91B3C">
        <w:rPr>
          <w:rFonts w:ascii="Arial" w:hAnsi="Arial" w:cs="Arial"/>
          <w:iCs/>
        </w:rPr>
        <w:t>4</w:t>
      </w:r>
      <w:r w:rsidR="00F609CE">
        <w:rPr>
          <w:rFonts w:ascii="Arial" w:hAnsi="Arial" w:cs="Arial"/>
          <w:iCs/>
        </w:rPr>
        <w:t>1</w:t>
      </w:r>
      <w:r w:rsidRPr="00C91B3C">
        <w:rPr>
          <w:rFonts w:ascii="Arial" w:hAnsi="Arial" w:cs="Arial"/>
          <w:iCs/>
        </w:rPr>
        <w:t xml:space="preserve"> gmin i </w:t>
      </w:r>
      <w:r w:rsidR="00F609CE">
        <w:rPr>
          <w:rFonts w:ascii="Arial" w:hAnsi="Arial" w:cs="Arial"/>
          <w:iCs/>
        </w:rPr>
        <w:t>7</w:t>
      </w:r>
      <w:r w:rsidRPr="00C91B3C">
        <w:rPr>
          <w:rFonts w:ascii="Arial" w:hAnsi="Arial" w:cs="Arial"/>
          <w:iCs/>
        </w:rPr>
        <w:t xml:space="preserve"> starostw. Wyrażono </w:t>
      </w:r>
      <w:r w:rsidR="00F609CE">
        <w:rPr>
          <w:rFonts w:ascii="Arial" w:hAnsi="Arial" w:cs="Arial"/>
          <w:iCs/>
        </w:rPr>
        <w:t>29</w:t>
      </w:r>
      <w:r w:rsidRPr="00C91B3C">
        <w:rPr>
          <w:rFonts w:ascii="Arial" w:hAnsi="Arial" w:cs="Arial"/>
          <w:iCs/>
        </w:rPr>
        <w:t xml:space="preserve"> opinii negatywnych i </w:t>
      </w:r>
      <w:r w:rsidR="00F609CE">
        <w:rPr>
          <w:rFonts w:ascii="Arial" w:hAnsi="Arial" w:cs="Arial"/>
          <w:iCs/>
        </w:rPr>
        <w:t>31</w:t>
      </w:r>
      <w:r w:rsidRPr="00C91B3C">
        <w:rPr>
          <w:rFonts w:ascii="Arial" w:hAnsi="Arial" w:cs="Arial"/>
          <w:iCs/>
        </w:rPr>
        <w:t xml:space="preserve"> pozytywnych. Wśród wniesionych opinii </w:t>
      </w:r>
      <w:r w:rsidR="00F609CE">
        <w:rPr>
          <w:rFonts w:ascii="Arial" w:hAnsi="Arial" w:cs="Arial"/>
          <w:iCs/>
        </w:rPr>
        <w:t>12</w:t>
      </w:r>
      <w:r w:rsidRPr="00C91B3C">
        <w:rPr>
          <w:rFonts w:ascii="Arial" w:hAnsi="Arial" w:cs="Arial"/>
          <w:iCs/>
        </w:rPr>
        <w:t xml:space="preserve"> został</w:t>
      </w:r>
      <w:r w:rsidR="00F609CE">
        <w:rPr>
          <w:rFonts w:ascii="Arial" w:hAnsi="Arial" w:cs="Arial"/>
          <w:iCs/>
        </w:rPr>
        <w:t xml:space="preserve">o </w:t>
      </w:r>
      <w:r w:rsidRPr="00C91B3C">
        <w:rPr>
          <w:rFonts w:ascii="Arial" w:hAnsi="Arial" w:cs="Arial"/>
          <w:iCs/>
        </w:rPr>
        <w:t>przesłan</w:t>
      </w:r>
      <w:r w:rsidR="00F609CE">
        <w:rPr>
          <w:rFonts w:ascii="Arial" w:hAnsi="Arial" w:cs="Arial"/>
          <w:iCs/>
        </w:rPr>
        <w:t>ych</w:t>
      </w:r>
      <w:r w:rsidRPr="00C91B3C">
        <w:rPr>
          <w:rFonts w:ascii="Arial" w:hAnsi="Arial" w:cs="Arial"/>
          <w:iCs/>
        </w:rPr>
        <w:t xml:space="preserve"> po terminie. Pozostałe </w:t>
      </w:r>
      <w:r w:rsidR="00F609CE">
        <w:rPr>
          <w:rFonts w:ascii="Arial" w:hAnsi="Arial" w:cs="Arial"/>
          <w:iCs/>
        </w:rPr>
        <w:t>jednostki</w:t>
      </w:r>
      <w:r w:rsidRPr="00C91B3C">
        <w:rPr>
          <w:rFonts w:ascii="Arial" w:hAnsi="Arial" w:cs="Arial"/>
          <w:iCs/>
        </w:rPr>
        <w:t xml:space="preserve"> nie wyraziły opinii na temat projektu uchwały, co zgodnie z art. 96 ust. 4 ustawy P</w:t>
      </w:r>
      <w:r w:rsidR="00B5009D">
        <w:rPr>
          <w:rFonts w:ascii="Arial" w:hAnsi="Arial" w:cs="Arial"/>
          <w:iCs/>
        </w:rPr>
        <w:t>OŚ</w:t>
      </w:r>
      <w:r w:rsidRPr="00C91B3C">
        <w:rPr>
          <w:rFonts w:ascii="Arial" w:hAnsi="Arial" w:cs="Arial"/>
          <w:iCs/>
        </w:rPr>
        <w:t xml:space="preserve"> oznacza jego akceptację. </w:t>
      </w:r>
    </w:p>
    <w:p w14:paraId="109762B3" w14:textId="0E255F58" w:rsidR="00C91B3C" w:rsidRDefault="00C91B3C" w:rsidP="007C14DA">
      <w:pPr>
        <w:spacing w:after="0"/>
        <w:jc w:val="both"/>
        <w:rPr>
          <w:rFonts w:ascii="Arial" w:hAnsi="Arial" w:cs="Arial"/>
          <w:iCs/>
        </w:rPr>
      </w:pPr>
      <w:r w:rsidRPr="00C91B3C">
        <w:rPr>
          <w:rFonts w:ascii="Arial" w:hAnsi="Arial" w:cs="Arial"/>
          <w:iCs/>
        </w:rPr>
        <w:t xml:space="preserve">W postępowaniu, którego przedmiotem </w:t>
      </w:r>
      <w:r w:rsidR="00340DAD">
        <w:rPr>
          <w:rFonts w:ascii="Arial" w:hAnsi="Arial" w:cs="Arial"/>
          <w:iCs/>
        </w:rPr>
        <w:t>było</w:t>
      </w:r>
      <w:r w:rsidRPr="00C91B3C">
        <w:rPr>
          <w:rFonts w:ascii="Arial" w:hAnsi="Arial" w:cs="Arial"/>
          <w:iCs/>
        </w:rPr>
        <w:t xml:space="preserve"> </w:t>
      </w:r>
      <w:r w:rsidR="00340DAD">
        <w:rPr>
          <w:rFonts w:ascii="Arial" w:hAnsi="Arial" w:cs="Arial"/>
          <w:iCs/>
        </w:rPr>
        <w:t>opracowanie projektu</w:t>
      </w:r>
      <w:r w:rsidRPr="00C91B3C">
        <w:rPr>
          <w:rFonts w:ascii="Arial" w:hAnsi="Arial" w:cs="Arial"/>
          <w:iCs/>
        </w:rPr>
        <w:t xml:space="preserve"> uchwały stosownie do art. 96 ust. 5 ustawy P</w:t>
      </w:r>
      <w:r w:rsidR="00B5009D">
        <w:rPr>
          <w:rFonts w:ascii="Arial" w:hAnsi="Arial" w:cs="Arial"/>
          <w:iCs/>
        </w:rPr>
        <w:t>OŚ</w:t>
      </w:r>
      <w:r w:rsidRPr="00C91B3C">
        <w:rPr>
          <w:rFonts w:ascii="Arial" w:hAnsi="Arial" w:cs="Arial"/>
          <w:iCs/>
        </w:rPr>
        <w:t xml:space="preserve"> zapewnia się udział społeczeństwa na zasadach określonych w</w:t>
      </w:r>
      <w:r w:rsidR="00B5009D">
        <w:rPr>
          <w:rFonts w:ascii="Arial" w:hAnsi="Arial" w:cs="Arial"/>
          <w:iCs/>
        </w:rPr>
        <w:t> </w:t>
      </w:r>
      <w:r w:rsidRPr="00C91B3C">
        <w:rPr>
          <w:rFonts w:ascii="Arial" w:hAnsi="Arial" w:cs="Arial"/>
          <w:iCs/>
        </w:rPr>
        <w:t>przepisach ustawy z dnia 3 października 2008 r. o udostępnianiu informacji o środowisku i</w:t>
      </w:r>
      <w:r w:rsidR="00B5009D">
        <w:rPr>
          <w:rFonts w:ascii="Arial" w:hAnsi="Arial" w:cs="Arial"/>
          <w:iCs/>
        </w:rPr>
        <w:t> </w:t>
      </w:r>
      <w:r w:rsidRPr="00C91B3C">
        <w:rPr>
          <w:rFonts w:ascii="Arial" w:hAnsi="Arial" w:cs="Arial"/>
          <w:iCs/>
        </w:rPr>
        <w:t>jego ochronie, udziale społeczeństwa w ochronie środowiska oraz ocenach oddziaływania na środowisko (Dz. U. z 20</w:t>
      </w:r>
      <w:r w:rsidR="00B5009D">
        <w:rPr>
          <w:rFonts w:ascii="Arial" w:hAnsi="Arial" w:cs="Arial"/>
          <w:iCs/>
        </w:rPr>
        <w:t>20</w:t>
      </w:r>
      <w:r w:rsidRPr="00C91B3C">
        <w:rPr>
          <w:rFonts w:ascii="Arial" w:hAnsi="Arial" w:cs="Arial"/>
          <w:iCs/>
        </w:rPr>
        <w:t xml:space="preserve"> r. poz. </w:t>
      </w:r>
      <w:r w:rsidR="00B5009D">
        <w:rPr>
          <w:rFonts w:ascii="Arial" w:hAnsi="Arial" w:cs="Arial"/>
          <w:iCs/>
        </w:rPr>
        <w:t>283</w:t>
      </w:r>
      <w:r w:rsidRPr="00C91B3C">
        <w:rPr>
          <w:rFonts w:ascii="Arial" w:hAnsi="Arial" w:cs="Arial"/>
          <w:iCs/>
        </w:rPr>
        <w:t xml:space="preserve"> ze zm.). Konsultacje społeczne przeprowadzono w</w:t>
      </w:r>
      <w:r w:rsidR="00B5009D">
        <w:rPr>
          <w:rFonts w:ascii="Arial" w:hAnsi="Arial" w:cs="Arial"/>
          <w:iCs/>
        </w:rPr>
        <w:t> </w:t>
      </w:r>
      <w:r w:rsidRPr="00C91B3C">
        <w:rPr>
          <w:rFonts w:ascii="Arial" w:hAnsi="Arial" w:cs="Arial"/>
          <w:iCs/>
        </w:rPr>
        <w:t xml:space="preserve">okresie od </w:t>
      </w:r>
      <w:r w:rsidR="00F609CE">
        <w:rPr>
          <w:rFonts w:ascii="Arial" w:hAnsi="Arial" w:cs="Arial"/>
          <w:iCs/>
        </w:rPr>
        <w:t>15 września</w:t>
      </w:r>
      <w:r w:rsidRPr="00C91B3C">
        <w:rPr>
          <w:rFonts w:ascii="Arial" w:hAnsi="Arial" w:cs="Arial"/>
          <w:iCs/>
        </w:rPr>
        <w:t xml:space="preserve"> do 1</w:t>
      </w:r>
      <w:r w:rsidR="00F609CE">
        <w:rPr>
          <w:rFonts w:ascii="Arial" w:hAnsi="Arial" w:cs="Arial"/>
          <w:iCs/>
        </w:rPr>
        <w:t>5</w:t>
      </w:r>
      <w:r w:rsidRPr="00C91B3C">
        <w:rPr>
          <w:rFonts w:ascii="Arial" w:hAnsi="Arial" w:cs="Arial"/>
          <w:iCs/>
        </w:rPr>
        <w:t xml:space="preserve"> </w:t>
      </w:r>
      <w:r w:rsidR="00F609CE">
        <w:rPr>
          <w:rFonts w:ascii="Arial" w:hAnsi="Arial" w:cs="Arial"/>
          <w:iCs/>
        </w:rPr>
        <w:t>października</w:t>
      </w:r>
      <w:r w:rsidRPr="00C91B3C">
        <w:rPr>
          <w:rFonts w:ascii="Arial" w:hAnsi="Arial" w:cs="Arial"/>
          <w:iCs/>
        </w:rPr>
        <w:t xml:space="preserve"> 20</w:t>
      </w:r>
      <w:r w:rsidR="00F609CE">
        <w:rPr>
          <w:rFonts w:ascii="Arial" w:hAnsi="Arial" w:cs="Arial"/>
          <w:iCs/>
        </w:rPr>
        <w:t>20</w:t>
      </w:r>
      <w:r w:rsidRPr="00C91B3C">
        <w:rPr>
          <w:rFonts w:ascii="Arial" w:hAnsi="Arial" w:cs="Arial"/>
          <w:iCs/>
        </w:rPr>
        <w:t xml:space="preserve"> r. Informacja o toczącym się postępowaniu oraz możliwości wnoszenia uwag i wniosków do opracowanej dokumentacji została zamieszczona: </w:t>
      </w:r>
    </w:p>
    <w:p w14:paraId="1DAEEEF7" w14:textId="47B2D5A2" w:rsidR="00B5009D" w:rsidRPr="00B5009D" w:rsidRDefault="00C91B3C" w:rsidP="007C14DA">
      <w:pPr>
        <w:pStyle w:val="Akapitzlist"/>
        <w:numPr>
          <w:ilvl w:val="0"/>
          <w:numId w:val="27"/>
        </w:numPr>
        <w:jc w:val="both"/>
        <w:rPr>
          <w:rFonts w:cs="Arial"/>
          <w:iCs/>
        </w:rPr>
      </w:pPr>
      <w:r w:rsidRPr="00B5009D">
        <w:rPr>
          <w:rFonts w:cs="Arial"/>
          <w:iCs/>
        </w:rPr>
        <w:t xml:space="preserve">na stronie internetowej Urzędu Marszałkowskiego Województwa </w:t>
      </w:r>
      <w:r w:rsidR="00CF6FB1" w:rsidRPr="00B5009D">
        <w:rPr>
          <w:rFonts w:cs="Arial"/>
          <w:iCs/>
        </w:rPr>
        <w:t>Lubel</w:t>
      </w:r>
      <w:r w:rsidRPr="00B5009D">
        <w:rPr>
          <w:rFonts w:cs="Arial"/>
          <w:iCs/>
        </w:rPr>
        <w:t>skiego</w:t>
      </w:r>
      <w:r w:rsidR="00CF6FB1" w:rsidRPr="00B5009D">
        <w:rPr>
          <w:rFonts w:cs="Arial"/>
          <w:color w:val="000000"/>
        </w:rPr>
        <w:t xml:space="preserve"> </w:t>
      </w:r>
      <w:hyperlink r:id="rId8" w:history="1">
        <w:r w:rsidR="00B5009D" w:rsidRPr="00B5009D">
          <w:rPr>
            <w:rStyle w:val="Hipercze"/>
            <w:rFonts w:cs="Arial"/>
            <w:color w:val="auto"/>
            <w:u w:val="none"/>
          </w:rPr>
          <w:t>www.lubelskie.pl</w:t>
        </w:r>
      </w:hyperlink>
      <w:r w:rsidR="00CF6FB1" w:rsidRPr="00B5009D">
        <w:rPr>
          <w:rFonts w:cs="Arial"/>
        </w:rPr>
        <w:t>,</w:t>
      </w:r>
    </w:p>
    <w:p w14:paraId="3ACB5B05" w14:textId="77777777" w:rsidR="00B5009D" w:rsidRDefault="00B5009D" w:rsidP="007C14DA">
      <w:pPr>
        <w:pStyle w:val="Akapitzlist"/>
        <w:numPr>
          <w:ilvl w:val="0"/>
          <w:numId w:val="27"/>
        </w:numPr>
        <w:jc w:val="both"/>
        <w:rPr>
          <w:rFonts w:cs="Arial"/>
          <w:iCs/>
        </w:rPr>
      </w:pPr>
      <w:r>
        <w:rPr>
          <w:rFonts w:cs="Arial"/>
          <w:color w:val="000000"/>
        </w:rPr>
        <w:t>n</w:t>
      </w:r>
      <w:r w:rsidR="00C91B3C" w:rsidRPr="00B5009D">
        <w:rPr>
          <w:rFonts w:cs="Arial"/>
          <w:iCs/>
        </w:rPr>
        <w:t xml:space="preserve">a stronie internetowej Biuletynu Informacji Publicznej </w:t>
      </w:r>
      <w:r w:rsidR="00F609CE" w:rsidRPr="00B5009D">
        <w:rPr>
          <w:rFonts w:cs="Arial"/>
          <w:color w:val="000000"/>
        </w:rPr>
        <w:t>w zakładce Ochrona Środowiska – Zawiadomienia i obwieszczenia</w:t>
      </w:r>
      <w:r w:rsidR="00C91B3C" w:rsidRPr="00B5009D">
        <w:rPr>
          <w:rFonts w:cs="Arial"/>
          <w:iCs/>
        </w:rPr>
        <w:t>,</w:t>
      </w:r>
    </w:p>
    <w:p w14:paraId="5946EFBE" w14:textId="77777777" w:rsidR="00B5009D" w:rsidRDefault="00C91B3C" w:rsidP="007C14DA">
      <w:pPr>
        <w:pStyle w:val="Akapitzlist"/>
        <w:numPr>
          <w:ilvl w:val="0"/>
          <w:numId w:val="27"/>
        </w:numPr>
        <w:jc w:val="both"/>
        <w:rPr>
          <w:rFonts w:cs="Arial"/>
          <w:iCs/>
        </w:rPr>
      </w:pPr>
      <w:r w:rsidRPr="00B5009D">
        <w:rPr>
          <w:rFonts w:cs="Arial"/>
          <w:iCs/>
        </w:rPr>
        <w:t xml:space="preserve">na tablicy ogłoszeń w siedzibie </w:t>
      </w:r>
      <w:r w:rsidR="00CF6FB1" w:rsidRPr="00B5009D">
        <w:rPr>
          <w:rFonts w:cs="Arial"/>
          <w:color w:val="000000"/>
        </w:rPr>
        <w:t>Departamentu Środowiska i Zasobów Naturalnych Urzędu Marszałkowskiego Województwa Lubelskiego w Lublinie, ul. M. Curie-Skłodowskiej 3</w:t>
      </w:r>
      <w:r w:rsidRPr="00B5009D">
        <w:rPr>
          <w:rFonts w:cs="Arial"/>
          <w:iCs/>
        </w:rPr>
        <w:t xml:space="preserve">, </w:t>
      </w:r>
    </w:p>
    <w:p w14:paraId="6B0F75B1" w14:textId="645EB6FF" w:rsidR="00F609CE" w:rsidRPr="00B5009D" w:rsidRDefault="00C91B3C" w:rsidP="007C14DA">
      <w:pPr>
        <w:pStyle w:val="Akapitzlist"/>
        <w:numPr>
          <w:ilvl w:val="0"/>
          <w:numId w:val="27"/>
        </w:numPr>
        <w:jc w:val="both"/>
        <w:rPr>
          <w:rFonts w:cs="Arial"/>
          <w:iCs/>
        </w:rPr>
      </w:pPr>
      <w:r w:rsidRPr="00B5009D">
        <w:rPr>
          <w:rFonts w:cs="Arial"/>
          <w:iCs/>
        </w:rPr>
        <w:t xml:space="preserve">w prasie </w:t>
      </w:r>
      <w:r w:rsidR="00F609CE" w:rsidRPr="00B5009D">
        <w:rPr>
          <w:rFonts w:cs="Arial"/>
          <w:iCs/>
        </w:rPr>
        <w:t>o zasięgu wojewódzkim</w:t>
      </w:r>
      <w:r w:rsidR="00B5009D">
        <w:rPr>
          <w:rFonts w:cs="Arial"/>
          <w:iCs/>
        </w:rPr>
        <w:t>.</w:t>
      </w:r>
      <w:r w:rsidRPr="00B5009D">
        <w:rPr>
          <w:rFonts w:cs="Arial"/>
          <w:iCs/>
        </w:rPr>
        <w:t xml:space="preserve"> </w:t>
      </w:r>
    </w:p>
    <w:p w14:paraId="61E975CB" w14:textId="0CA8D2BD" w:rsidR="00340DAD" w:rsidRDefault="00340DAD" w:rsidP="00340DAD">
      <w:pPr>
        <w:spacing w:after="0"/>
        <w:jc w:val="both"/>
        <w:rPr>
          <w:rFonts w:ascii="Arial" w:hAnsi="Arial" w:cs="Arial"/>
          <w:iCs/>
        </w:rPr>
      </w:pPr>
      <w:r>
        <w:rPr>
          <w:rFonts w:ascii="Arial" w:hAnsi="Arial" w:cs="Arial"/>
          <w:iCs/>
        </w:rPr>
        <w:t>W ramach konsultacji społecznych wpłynęło 18 wniosków i uwag w tym 3 od osób fizycznych oraz 15 od innych podmiotów. 7 wniosków złożonych zostało po terminie.</w:t>
      </w:r>
    </w:p>
    <w:p w14:paraId="47E61CBE" w14:textId="621A008C" w:rsidR="00340DAD" w:rsidRDefault="00340DAD" w:rsidP="007C14DA">
      <w:pPr>
        <w:spacing w:after="0"/>
        <w:jc w:val="both"/>
        <w:rPr>
          <w:rFonts w:ascii="Arial" w:hAnsi="Arial" w:cs="Arial"/>
          <w:iCs/>
        </w:rPr>
      </w:pPr>
      <w:r w:rsidRPr="00C91B3C">
        <w:rPr>
          <w:rFonts w:ascii="Arial" w:hAnsi="Arial" w:cs="Arial"/>
          <w:iCs/>
        </w:rPr>
        <w:t xml:space="preserve">Do wszystkich uwag została sporządzona tabela z wyjaśnieniami, która została zamieszczona na stronie BIP Urzędu. Uwzględnione uwagi wprowadzono do projektu uchwały. </w:t>
      </w:r>
    </w:p>
    <w:p w14:paraId="6658B43B" w14:textId="06BE26E0" w:rsidR="00C91B3C" w:rsidRDefault="00C91B3C" w:rsidP="007C14DA">
      <w:pPr>
        <w:spacing w:after="0"/>
        <w:jc w:val="both"/>
        <w:rPr>
          <w:rFonts w:ascii="Arial" w:hAnsi="Arial" w:cs="Arial"/>
          <w:iCs/>
        </w:rPr>
      </w:pPr>
      <w:r w:rsidRPr="00C91B3C">
        <w:rPr>
          <w:rFonts w:ascii="Arial" w:hAnsi="Arial" w:cs="Arial"/>
          <w:iCs/>
        </w:rPr>
        <w:lastRenderedPageBreak/>
        <w:t>Zestawienie uwag oraz informacja o sposobie ich wykorzystania stanowi integralną część uzasadnienia.</w:t>
      </w:r>
    </w:p>
    <w:p w14:paraId="19E5C088" w14:textId="62FF6541" w:rsidR="00B5009D" w:rsidRPr="00F27A69" w:rsidRDefault="00C91B3C" w:rsidP="00F27A69">
      <w:pPr>
        <w:ind w:firstLine="708"/>
        <w:jc w:val="both"/>
        <w:rPr>
          <w:rFonts w:ascii="Arial" w:eastAsia="Calibri" w:hAnsi="Arial" w:cs="Arial"/>
          <w:bCs/>
        </w:rPr>
      </w:pPr>
      <w:r w:rsidRPr="00C91B3C">
        <w:rPr>
          <w:rFonts w:ascii="Arial" w:hAnsi="Arial" w:cs="Arial"/>
          <w:iCs/>
        </w:rPr>
        <w:t xml:space="preserve">Równocześnie na podstawie § 1 </w:t>
      </w:r>
      <w:r w:rsidR="00CF6FB1" w:rsidRPr="00523632">
        <w:rPr>
          <w:rFonts w:ascii="Arial" w:hAnsi="Arial" w:cs="Arial"/>
        </w:rPr>
        <w:t>Nr XLVII/824/10 Sejmiku Województwa Lubelskiego z</w:t>
      </w:r>
      <w:r w:rsidR="00CF6FB1">
        <w:rPr>
          <w:rFonts w:ascii="Arial" w:hAnsi="Arial" w:cs="Arial"/>
        </w:rPr>
        <w:t> </w:t>
      </w:r>
      <w:r w:rsidR="00CF6FB1" w:rsidRPr="00523632">
        <w:rPr>
          <w:rFonts w:ascii="Arial" w:hAnsi="Arial" w:cs="Arial"/>
        </w:rPr>
        <w:t>dnia 10 września 2010 r.</w:t>
      </w:r>
      <w:r w:rsidR="00340DAD" w:rsidRPr="00340DAD">
        <w:rPr>
          <w:rFonts w:ascii="Arial" w:hAnsi="Arial" w:cs="Arial"/>
          <w:color w:val="000000"/>
        </w:rPr>
        <w:t xml:space="preserve"> </w:t>
      </w:r>
      <w:r w:rsidR="00340DAD" w:rsidRPr="001F2A95">
        <w:rPr>
          <w:rFonts w:ascii="Arial" w:hAnsi="Arial" w:cs="Arial"/>
          <w:color w:val="000000"/>
        </w:rPr>
        <w:t xml:space="preserve">w sprawie określenia szczegółowego sposobu konsultowania projektów aktów prawa miejscowego z organizacjami pozarządowymi i innymi podmiotami (Dz. Urz. Woj. Lubelskiego Nr 124, poz. 2157, z </w:t>
      </w:r>
      <w:proofErr w:type="spellStart"/>
      <w:r w:rsidR="00340DAD" w:rsidRPr="001F2A95">
        <w:rPr>
          <w:rFonts w:ascii="Arial" w:hAnsi="Arial" w:cs="Arial"/>
          <w:color w:val="000000"/>
        </w:rPr>
        <w:t>późn</w:t>
      </w:r>
      <w:proofErr w:type="spellEnd"/>
      <w:r w:rsidR="00340DAD" w:rsidRPr="001F2A95">
        <w:rPr>
          <w:rFonts w:ascii="Arial" w:hAnsi="Arial" w:cs="Arial"/>
          <w:color w:val="000000"/>
        </w:rPr>
        <w:t>. zm.)</w:t>
      </w:r>
      <w:r w:rsidRPr="00C91B3C">
        <w:rPr>
          <w:rFonts w:ascii="Arial" w:hAnsi="Arial" w:cs="Arial"/>
          <w:iCs/>
        </w:rPr>
        <w:t>, projekt uchwały pod</w:t>
      </w:r>
      <w:r w:rsidR="00B5009D">
        <w:rPr>
          <w:rFonts w:ascii="Arial" w:hAnsi="Arial" w:cs="Arial"/>
          <w:iCs/>
        </w:rPr>
        <w:t>dano</w:t>
      </w:r>
      <w:r w:rsidRPr="00C91B3C">
        <w:rPr>
          <w:rFonts w:ascii="Arial" w:hAnsi="Arial" w:cs="Arial"/>
          <w:iCs/>
        </w:rPr>
        <w:t xml:space="preserve"> konsultacjom z organizacjami pozarządowymi i podmiotami, o których mowa w art. 3 ust. 3 ustawy o działalności pożytku publicznego i o wolontariacie.</w:t>
      </w:r>
      <w:r w:rsidR="00B00B7D">
        <w:rPr>
          <w:rFonts w:ascii="Arial" w:hAnsi="Arial" w:cs="Arial"/>
          <w:iCs/>
        </w:rPr>
        <w:t xml:space="preserve"> </w:t>
      </w:r>
      <w:r w:rsidR="00F27A69" w:rsidRPr="001F2A95">
        <w:rPr>
          <w:rFonts w:ascii="Arial" w:hAnsi="Arial" w:cs="Arial"/>
        </w:rPr>
        <w:t>Na posiedzeniu w dniu 8</w:t>
      </w:r>
      <w:r w:rsidR="00F27A69">
        <w:rPr>
          <w:rFonts w:ascii="Arial" w:hAnsi="Arial" w:cs="Arial"/>
        </w:rPr>
        <w:t> </w:t>
      </w:r>
      <w:r w:rsidR="00F27A69" w:rsidRPr="001F2A95">
        <w:rPr>
          <w:rFonts w:ascii="Arial" w:hAnsi="Arial" w:cs="Arial"/>
        </w:rPr>
        <w:t xml:space="preserve">października 2020 r. w ramach konsultacji pozytywnie zaopiniowano projekt uchwały Sejmiku Województwa Lubelskiego w sprawie </w:t>
      </w:r>
      <w:r w:rsidR="00F27A69" w:rsidRPr="001F2A95">
        <w:rPr>
          <w:rFonts w:ascii="Arial" w:eastAsia="Calibri" w:hAnsi="Arial" w:cs="Arial"/>
          <w:bCs/>
        </w:rPr>
        <w:t xml:space="preserve">wprowadzenia na obszarze województwa lubelskiego ograniczeń i zakazów w zakresie eksploatacji instalacji, w których następuje spalanie paliw </w:t>
      </w:r>
      <w:r w:rsidR="00F27A69" w:rsidRPr="001F2A95">
        <w:rPr>
          <w:rFonts w:ascii="Arial" w:eastAsia="Calibri" w:hAnsi="Arial" w:cs="Arial"/>
        </w:rPr>
        <w:t>z organizacjami pozarządowymi i innymi podmiotami.</w:t>
      </w:r>
    </w:p>
    <w:p w14:paraId="5BEDDED2" w14:textId="65A15FD5" w:rsidR="00064F70" w:rsidRPr="00F27A69" w:rsidRDefault="00E55C04" w:rsidP="00F27A69">
      <w:pPr>
        <w:jc w:val="both"/>
        <w:rPr>
          <w:rFonts w:cs="Arial"/>
        </w:rPr>
      </w:pPr>
      <w:r w:rsidRPr="00F27A69">
        <w:rPr>
          <w:rFonts w:cs="Arial"/>
        </w:rPr>
        <w:t xml:space="preserve"> </w:t>
      </w:r>
    </w:p>
    <w:sectPr w:rsidR="00064F70" w:rsidRPr="00F27A69" w:rsidSect="00B852B9">
      <w:footerReference w:type="default" r:id="rId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10F2A" w14:textId="77777777" w:rsidR="005E2F20" w:rsidRDefault="005E2F20" w:rsidP="004D60C3">
      <w:pPr>
        <w:spacing w:after="0" w:line="240" w:lineRule="auto"/>
      </w:pPr>
      <w:r>
        <w:separator/>
      </w:r>
    </w:p>
  </w:endnote>
  <w:endnote w:type="continuationSeparator" w:id="0">
    <w:p w14:paraId="520504C3" w14:textId="77777777" w:rsidR="005E2F20" w:rsidRDefault="005E2F20" w:rsidP="004D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1394500"/>
      <w:docPartObj>
        <w:docPartGallery w:val="Page Numbers (Bottom of Page)"/>
        <w:docPartUnique/>
      </w:docPartObj>
    </w:sdtPr>
    <w:sdtEndPr/>
    <w:sdtContent>
      <w:p w14:paraId="1E4D3274" w14:textId="05EC7D16" w:rsidR="008C5B1E" w:rsidRDefault="008C5B1E">
        <w:pPr>
          <w:pStyle w:val="Stopka"/>
          <w:jc w:val="right"/>
        </w:pPr>
        <w:r>
          <w:fldChar w:fldCharType="begin"/>
        </w:r>
        <w:r>
          <w:instrText>PAGE   \* MERGEFORMAT</w:instrText>
        </w:r>
        <w:r>
          <w:fldChar w:fldCharType="separate"/>
        </w:r>
        <w:r>
          <w:t>2</w:t>
        </w:r>
        <w:r>
          <w:fldChar w:fldCharType="end"/>
        </w:r>
      </w:p>
    </w:sdtContent>
  </w:sdt>
  <w:p w14:paraId="01A8A23A" w14:textId="46D6ABEE" w:rsidR="004D60C3" w:rsidRPr="004D60C3" w:rsidRDefault="004D60C3" w:rsidP="00177C0B">
    <w:pPr>
      <w:spacing w:before="120" w:after="0" w:line="240" w:lineRule="auto"/>
      <w:jc w:val="right"/>
      <w:rPr>
        <w:rFonts w:ascii="Arial" w:eastAsia="Times New Roman" w:hAnsi="Arial" w:cs="Arial"/>
        <w:sz w:val="16"/>
        <w:szCs w:val="16"/>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0B146" w14:textId="77777777" w:rsidR="005E2F20" w:rsidRDefault="005E2F20" w:rsidP="004D60C3">
      <w:pPr>
        <w:spacing w:after="0" w:line="240" w:lineRule="auto"/>
      </w:pPr>
      <w:r>
        <w:separator/>
      </w:r>
    </w:p>
  </w:footnote>
  <w:footnote w:type="continuationSeparator" w:id="0">
    <w:p w14:paraId="00D0819A" w14:textId="77777777" w:rsidR="005E2F20" w:rsidRDefault="005E2F20" w:rsidP="004D60C3">
      <w:pPr>
        <w:spacing w:after="0" w:line="240" w:lineRule="auto"/>
      </w:pPr>
      <w:r>
        <w:continuationSeparator/>
      </w:r>
    </w:p>
  </w:footnote>
  <w:footnote w:id="1">
    <w:p w14:paraId="0C968E63" w14:textId="77777777" w:rsidR="00A32294" w:rsidRDefault="00A32294" w:rsidP="00A32294">
      <w:pPr>
        <w:pStyle w:val="Tekstprzypisudolnego"/>
      </w:pPr>
      <w:r w:rsidRPr="00D60FA0">
        <w:rPr>
          <w:rStyle w:val="Odwoanieprzypisudolnego"/>
          <w:rFonts w:ascii="Arial" w:hAnsi="Arial" w:cs="Arial"/>
          <w:sz w:val="18"/>
          <w:szCs w:val="18"/>
        </w:rPr>
        <w:footnoteRef/>
      </w:r>
      <w:r w:rsidRPr="00D60FA0">
        <w:rPr>
          <w:rFonts w:ascii="Arial" w:hAnsi="Arial" w:cs="Arial"/>
          <w:sz w:val="18"/>
          <w:szCs w:val="18"/>
        </w:rPr>
        <w:t xml:space="preserve"> Zmiany rozporządzenia zostały ogłoszone w </w:t>
      </w:r>
      <w:r w:rsidRPr="00D60FA0">
        <w:rPr>
          <w:rFonts w:ascii="Arial" w:hAnsi="Arial" w:cs="Arial"/>
          <w:color w:val="000000"/>
          <w:sz w:val="18"/>
          <w:szCs w:val="18"/>
        </w:rPr>
        <w:t>Dz. Urz. UE, L, Nr 346 z 20.12.2016 r., str. 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703"/>
    <w:multiLevelType w:val="hybridMultilevel"/>
    <w:tmpl w:val="9CD87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8F1FFB"/>
    <w:multiLevelType w:val="hybridMultilevel"/>
    <w:tmpl w:val="EB86F3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944AD2"/>
    <w:multiLevelType w:val="hybridMultilevel"/>
    <w:tmpl w:val="070C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7126A3"/>
    <w:multiLevelType w:val="hybridMultilevel"/>
    <w:tmpl w:val="AF9A4AE4"/>
    <w:lvl w:ilvl="0" w:tplc="12800D82">
      <w:start w:val="1"/>
      <w:numFmt w:val="decimal"/>
      <w:lvlText w:val="%1)"/>
      <w:lvlJc w:val="left"/>
      <w:pPr>
        <w:ind w:left="720" w:hanging="360"/>
      </w:pPr>
      <w:rPr>
        <w:rFonts w:ascii="Arial" w:eastAsia="Calibri" w:hAnsi="Arial" w:cs="Arial"/>
      </w:rPr>
    </w:lvl>
    <w:lvl w:ilvl="1" w:tplc="80501220">
      <w:start w:val="1"/>
      <w:numFmt w:val="decimal"/>
      <w:lvlText w:val="%2."/>
      <w:lvlJc w:val="left"/>
      <w:pPr>
        <w:ind w:left="1440" w:hanging="360"/>
      </w:pPr>
      <w:rPr>
        <w:rFonts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8100FD"/>
    <w:multiLevelType w:val="hybridMultilevel"/>
    <w:tmpl w:val="7BDE5D80"/>
    <w:lvl w:ilvl="0" w:tplc="725C957C">
      <w:start w:val="1"/>
      <w:numFmt w:val="lowerLetter"/>
      <w:lvlText w:val="%1)"/>
      <w:lvlJc w:val="left"/>
      <w:pPr>
        <w:ind w:left="644" w:hanging="360"/>
      </w:pPr>
      <w:rPr>
        <w:rFonts w:ascii="Arial" w:eastAsia="Calibri"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84D6CE1"/>
    <w:multiLevelType w:val="hybridMultilevel"/>
    <w:tmpl w:val="DA9C30B2"/>
    <w:lvl w:ilvl="0" w:tplc="77D0C73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AB4E6D"/>
    <w:multiLevelType w:val="hybridMultilevel"/>
    <w:tmpl w:val="E0B4EEB4"/>
    <w:lvl w:ilvl="0" w:tplc="95566982">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7" w15:restartNumberingAfterBreak="0">
    <w:nsid w:val="254C1ED4"/>
    <w:multiLevelType w:val="hybridMultilevel"/>
    <w:tmpl w:val="87EC00F6"/>
    <w:lvl w:ilvl="0" w:tplc="68CCCBDE">
      <w:start w:val="1"/>
      <w:numFmt w:val="decimal"/>
      <w:lvlText w:val="%1."/>
      <w:lvlJc w:val="left"/>
      <w:pPr>
        <w:ind w:left="644" w:hanging="360"/>
      </w:pPr>
      <w:rPr>
        <w:rFonts w:hint="default"/>
        <w:i w:val="0"/>
        <w:color w:val="000000"/>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9E65B6"/>
    <w:multiLevelType w:val="hybridMultilevel"/>
    <w:tmpl w:val="05C0FF02"/>
    <w:lvl w:ilvl="0" w:tplc="BA78371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9C2499"/>
    <w:multiLevelType w:val="hybridMultilevel"/>
    <w:tmpl w:val="4AC4AFDC"/>
    <w:lvl w:ilvl="0" w:tplc="4D0AD7B2">
      <w:start w:val="1"/>
      <w:numFmt w:val="lowerLetter"/>
      <w:lvlText w:val="%1)"/>
      <w:lvlJc w:val="left"/>
      <w:pPr>
        <w:ind w:left="300" w:hanging="360"/>
      </w:pPr>
      <w:rPr>
        <w:rFonts w:hint="default"/>
      </w:rPr>
    </w:lvl>
    <w:lvl w:ilvl="1" w:tplc="04150019" w:tentative="1">
      <w:start w:val="1"/>
      <w:numFmt w:val="lowerLetter"/>
      <w:lvlText w:val="%2."/>
      <w:lvlJc w:val="left"/>
      <w:pPr>
        <w:ind w:left="1020" w:hanging="360"/>
      </w:pPr>
    </w:lvl>
    <w:lvl w:ilvl="2" w:tplc="0415001B" w:tentative="1">
      <w:start w:val="1"/>
      <w:numFmt w:val="lowerRoman"/>
      <w:lvlText w:val="%3."/>
      <w:lvlJc w:val="right"/>
      <w:pPr>
        <w:ind w:left="1740" w:hanging="180"/>
      </w:pPr>
    </w:lvl>
    <w:lvl w:ilvl="3" w:tplc="0415000F" w:tentative="1">
      <w:start w:val="1"/>
      <w:numFmt w:val="decimal"/>
      <w:lvlText w:val="%4."/>
      <w:lvlJc w:val="left"/>
      <w:pPr>
        <w:ind w:left="2460" w:hanging="360"/>
      </w:pPr>
    </w:lvl>
    <w:lvl w:ilvl="4" w:tplc="04150019" w:tentative="1">
      <w:start w:val="1"/>
      <w:numFmt w:val="lowerLetter"/>
      <w:lvlText w:val="%5."/>
      <w:lvlJc w:val="left"/>
      <w:pPr>
        <w:ind w:left="3180" w:hanging="360"/>
      </w:pPr>
    </w:lvl>
    <w:lvl w:ilvl="5" w:tplc="0415001B" w:tentative="1">
      <w:start w:val="1"/>
      <w:numFmt w:val="lowerRoman"/>
      <w:lvlText w:val="%6."/>
      <w:lvlJc w:val="right"/>
      <w:pPr>
        <w:ind w:left="3900" w:hanging="180"/>
      </w:pPr>
    </w:lvl>
    <w:lvl w:ilvl="6" w:tplc="0415000F" w:tentative="1">
      <w:start w:val="1"/>
      <w:numFmt w:val="decimal"/>
      <w:lvlText w:val="%7."/>
      <w:lvlJc w:val="left"/>
      <w:pPr>
        <w:ind w:left="4620" w:hanging="360"/>
      </w:pPr>
    </w:lvl>
    <w:lvl w:ilvl="7" w:tplc="04150019" w:tentative="1">
      <w:start w:val="1"/>
      <w:numFmt w:val="lowerLetter"/>
      <w:lvlText w:val="%8."/>
      <w:lvlJc w:val="left"/>
      <w:pPr>
        <w:ind w:left="5340" w:hanging="360"/>
      </w:pPr>
    </w:lvl>
    <w:lvl w:ilvl="8" w:tplc="0415001B" w:tentative="1">
      <w:start w:val="1"/>
      <w:numFmt w:val="lowerRoman"/>
      <w:lvlText w:val="%9."/>
      <w:lvlJc w:val="right"/>
      <w:pPr>
        <w:ind w:left="6060" w:hanging="180"/>
      </w:pPr>
    </w:lvl>
  </w:abstractNum>
  <w:abstractNum w:abstractNumId="10" w15:restartNumberingAfterBreak="0">
    <w:nsid w:val="33D412A0"/>
    <w:multiLevelType w:val="hybridMultilevel"/>
    <w:tmpl w:val="CEA650B8"/>
    <w:lvl w:ilvl="0" w:tplc="3C1E9C00">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355E04E5"/>
    <w:multiLevelType w:val="hybridMultilevel"/>
    <w:tmpl w:val="727A3562"/>
    <w:lvl w:ilvl="0" w:tplc="767AAC14">
      <w:start w:val="1"/>
      <w:numFmt w:val="decimal"/>
      <w:lvlText w:val="%1."/>
      <w:lvlJc w:val="left"/>
      <w:pPr>
        <w:ind w:left="720" w:hanging="360"/>
      </w:pPr>
      <w:rPr>
        <w:rFonts w:ascii="Arial" w:eastAsiaTheme="minorHAnsi"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A3673B"/>
    <w:multiLevelType w:val="hybridMultilevel"/>
    <w:tmpl w:val="1FCE7316"/>
    <w:lvl w:ilvl="0" w:tplc="0415000F">
      <w:start w:val="1"/>
      <w:numFmt w:val="decimal"/>
      <w:lvlText w:val="%1."/>
      <w:lvlJc w:val="left"/>
      <w:pPr>
        <w:ind w:left="720" w:hanging="360"/>
      </w:pPr>
      <w:rPr>
        <w:rFonts w:hint="default"/>
        <w:color w:val="auto"/>
      </w:rPr>
    </w:lvl>
    <w:lvl w:ilvl="1" w:tplc="908E1462">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D55C6E"/>
    <w:multiLevelType w:val="hybridMultilevel"/>
    <w:tmpl w:val="CEA672BE"/>
    <w:lvl w:ilvl="0" w:tplc="663810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BBF7DD7"/>
    <w:multiLevelType w:val="hybridMultilevel"/>
    <w:tmpl w:val="A4FCC2B0"/>
    <w:lvl w:ilvl="0" w:tplc="B96868EE">
      <w:start w:val="1"/>
      <w:numFmt w:val="bullet"/>
      <w:lvlText w:val="-"/>
      <w:lvlJc w:val="left"/>
      <w:pPr>
        <w:ind w:left="720" w:hanging="360"/>
      </w:pPr>
      <w:rPr>
        <w:rFonts w:ascii="Courier New" w:hAnsi="Courier New" w:cs="Times New Roman" w:hint="default"/>
      </w:rPr>
    </w:lvl>
    <w:lvl w:ilvl="1" w:tplc="B96868EE">
      <w:start w:val="1"/>
      <w:numFmt w:val="bullet"/>
      <w:lvlText w:val="-"/>
      <w:lvlJc w:val="left"/>
      <w:pPr>
        <w:ind w:left="1440" w:hanging="360"/>
      </w:pPr>
      <w:rPr>
        <w:rFonts w:ascii="Courier New" w:hAnsi="Courier New"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FF73F42"/>
    <w:multiLevelType w:val="hybridMultilevel"/>
    <w:tmpl w:val="0B9CE4B0"/>
    <w:lvl w:ilvl="0" w:tplc="B96868EE">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62E40C09"/>
    <w:multiLevelType w:val="hybridMultilevel"/>
    <w:tmpl w:val="9E467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F43255"/>
    <w:multiLevelType w:val="hybridMultilevel"/>
    <w:tmpl w:val="5698916E"/>
    <w:lvl w:ilvl="0" w:tplc="8DCE7F1C">
      <w:start w:val="6"/>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62027B"/>
    <w:multiLevelType w:val="hybridMultilevel"/>
    <w:tmpl w:val="56F67C32"/>
    <w:lvl w:ilvl="0" w:tplc="91DC18FA">
      <w:start w:val="1"/>
      <w:numFmt w:val="upperRoman"/>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6B1C5E62"/>
    <w:multiLevelType w:val="hybridMultilevel"/>
    <w:tmpl w:val="57CC8EB4"/>
    <w:lvl w:ilvl="0" w:tplc="B96868EE">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B8F2E00"/>
    <w:multiLevelType w:val="hybridMultilevel"/>
    <w:tmpl w:val="6A280536"/>
    <w:lvl w:ilvl="0" w:tplc="F9FE094E">
      <w:start w:val="1"/>
      <w:numFmt w:val="upperLetter"/>
      <w:lvlText w:val="%1)"/>
      <w:lvlJc w:val="left"/>
      <w:pPr>
        <w:ind w:left="300" w:hanging="360"/>
      </w:pPr>
      <w:rPr>
        <w:rFonts w:hint="default"/>
      </w:rPr>
    </w:lvl>
    <w:lvl w:ilvl="1" w:tplc="04150019" w:tentative="1">
      <w:start w:val="1"/>
      <w:numFmt w:val="lowerLetter"/>
      <w:lvlText w:val="%2."/>
      <w:lvlJc w:val="left"/>
      <w:pPr>
        <w:ind w:left="1020" w:hanging="360"/>
      </w:pPr>
    </w:lvl>
    <w:lvl w:ilvl="2" w:tplc="0415001B" w:tentative="1">
      <w:start w:val="1"/>
      <w:numFmt w:val="lowerRoman"/>
      <w:lvlText w:val="%3."/>
      <w:lvlJc w:val="right"/>
      <w:pPr>
        <w:ind w:left="1740" w:hanging="180"/>
      </w:pPr>
    </w:lvl>
    <w:lvl w:ilvl="3" w:tplc="0415000F" w:tentative="1">
      <w:start w:val="1"/>
      <w:numFmt w:val="decimal"/>
      <w:lvlText w:val="%4."/>
      <w:lvlJc w:val="left"/>
      <w:pPr>
        <w:ind w:left="2460" w:hanging="360"/>
      </w:pPr>
    </w:lvl>
    <w:lvl w:ilvl="4" w:tplc="04150019" w:tentative="1">
      <w:start w:val="1"/>
      <w:numFmt w:val="lowerLetter"/>
      <w:lvlText w:val="%5."/>
      <w:lvlJc w:val="left"/>
      <w:pPr>
        <w:ind w:left="3180" w:hanging="360"/>
      </w:pPr>
    </w:lvl>
    <w:lvl w:ilvl="5" w:tplc="0415001B" w:tentative="1">
      <w:start w:val="1"/>
      <w:numFmt w:val="lowerRoman"/>
      <w:lvlText w:val="%6."/>
      <w:lvlJc w:val="right"/>
      <w:pPr>
        <w:ind w:left="3900" w:hanging="180"/>
      </w:pPr>
    </w:lvl>
    <w:lvl w:ilvl="6" w:tplc="0415000F" w:tentative="1">
      <w:start w:val="1"/>
      <w:numFmt w:val="decimal"/>
      <w:lvlText w:val="%7."/>
      <w:lvlJc w:val="left"/>
      <w:pPr>
        <w:ind w:left="4620" w:hanging="360"/>
      </w:pPr>
    </w:lvl>
    <w:lvl w:ilvl="7" w:tplc="04150019" w:tentative="1">
      <w:start w:val="1"/>
      <w:numFmt w:val="lowerLetter"/>
      <w:lvlText w:val="%8."/>
      <w:lvlJc w:val="left"/>
      <w:pPr>
        <w:ind w:left="5340" w:hanging="360"/>
      </w:pPr>
    </w:lvl>
    <w:lvl w:ilvl="8" w:tplc="0415001B" w:tentative="1">
      <w:start w:val="1"/>
      <w:numFmt w:val="lowerRoman"/>
      <w:lvlText w:val="%9."/>
      <w:lvlJc w:val="right"/>
      <w:pPr>
        <w:ind w:left="6060" w:hanging="180"/>
      </w:pPr>
    </w:lvl>
  </w:abstractNum>
  <w:abstractNum w:abstractNumId="21" w15:restartNumberingAfterBreak="0">
    <w:nsid w:val="70FA7D1B"/>
    <w:multiLevelType w:val="hybridMultilevel"/>
    <w:tmpl w:val="907E9E3A"/>
    <w:lvl w:ilvl="0" w:tplc="F630353E">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E255C5"/>
    <w:multiLevelType w:val="hybridMultilevel"/>
    <w:tmpl w:val="8EC24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2131B3"/>
    <w:multiLevelType w:val="hybridMultilevel"/>
    <w:tmpl w:val="AD984030"/>
    <w:lvl w:ilvl="0" w:tplc="B96868EE">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5657E17"/>
    <w:multiLevelType w:val="hybridMultilevel"/>
    <w:tmpl w:val="6548D0C4"/>
    <w:lvl w:ilvl="0" w:tplc="E61C3E7C">
      <w:start w:val="1"/>
      <w:numFmt w:val="upperRoman"/>
      <w:lvlText w:val="%1."/>
      <w:lvlJc w:val="left"/>
      <w:pPr>
        <w:ind w:left="660" w:hanging="720"/>
      </w:pPr>
      <w:rPr>
        <w:rFonts w:hint="default"/>
      </w:rPr>
    </w:lvl>
    <w:lvl w:ilvl="1" w:tplc="04150019" w:tentative="1">
      <w:start w:val="1"/>
      <w:numFmt w:val="lowerLetter"/>
      <w:lvlText w:val="%2."/>
      <w:lvlJc w:val="left"/>
      <w:pPr>
        <w:ind w:left="1020" w:hanging="360"/>
      </w:pPr>
    </w:lvl>
    <w:lvl w:ilvl="2" w:tplc="0415001B" w:tentative="1">
      <w:start w:val="1"/>
      <w:numFmt w:val="lowerRoman"/>
      <w:lvlText w:val="%3."/>
      <w:lvlJc w:val="right"/>
      <w:pPr>
        <w:ind w:left="1740" w:hanging="180"/>
      </w:pPr>
    </w:lvl>
    <w:lvl w:ilvl="3" w:tplc="0415000F" w:tentative="1">
      <w:start w:val="1"/>
      <w:numFmt w:val="decimal"/>
      <w:lvlText w:val="%4."/>
      <w:lvlJc w:val="left"/>
      <w:pPr>
        <w:ind w:left="2460" w:hanging="360"/>
      </w:pPr>
    </w:lvl>
    <w:lvl w:ilvl="4" w:tplc="04150019" w:tentative="1">
      <w:start w:val="1"/>
      <w:numFmt w:val="lowerLetter"/>
      <w:lvlText w:val="%5."/>
      <w:lvlJc w:val="left"/>
      <w:pPr>
        <w:ind w:left="3180" w:hanging="360"/>
      </w:pPr>
    </w:lvl>
    <w:lvl w:ilvl="5" w:tplc="0415001B" w:tentative="1">
      <w:start w:val="1"/>
      <w:numFmt w:val="lowerRoman"/>
      <w:lvlText w:val="%6."/>
      <w:lvlJc w:val="right"/>
      <w:pPr>
        <w:ind w:left="3900" w:hanging="180"/>
      </w:pPr>
    </w:lvl>
    <w:lvl w:ilvl="6" w:tplc="0415000F" w:tentative="1">
      <w:start w:val="1"/>
      <w:numFmt w:val="decimal"/>
      <w:lvlText w:val="%7."/>
      <w:lvlJc w:val="left"/>
      <w:pPr>
        <w:ind w:left="4620" w:hanging="360"/>
      </w:pPr>
    </w:lvl>
    <w:lvl w:ilvl="7" w:tplc="04150019" w:tentative="1">
      <w:start w:val="1"/>
      <w:numFmt w:val="lowerLetter"/>
      <w:lvlText w:val="%8."/>
      <w:lvlJc w:val="left"/>
      <w:pPr>
        <w:ind w:left="5340" w:hanging="360"/>
      </w:pPr>
    </w:lvl>
    <w:lvl w:ilvl="8" w:tplc="0415001B" w:tentative="1">
      <w:start w:val="1"/>
      <w:numFmt w:val="lowerRoman"/>
      <w:lvlText w:val="%9."/>
      <w:lvlJc w:val="right"/>
      <w:pPr>
        <w:ind w:left="6060" w:hanging="180"/>
      </w:pPr>
    </w:lvl>
  </w:abstractNum>
  <w:abstractNum w:abstractNumId="25" w15:restartNumberingAfterBreak="0">
    <w:nsid w:val="7D742B05"/>
    <w:multiLevelType w:val="hybridMultilevel"/>
    <w:tmpl w:val="68DC58B4"/>
    <w:lvl w:ilvl="0" w:tplc="7026DF5E">
      <w:start w:val="1"/>
      <w:numFmt w:val="decimal"/>
      <w:lvlText w:val="%1)"/>
      <w:lvlJc w:val="left"/>
      <w:pPr>
        <w:ind w:left="644" w:hanging="360"/>
      </w:pPr>
      <w:rPr>
        <w:rFonts w:ascii="Arial" w:eastAsia="Calibri" w:hAnsi="Arial" w:cs="Arial"/>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F5D5C25"/>
    <w:multiLevelType w:val="hybridMultilevel"/>
    <w:tmpl w:val="D654F0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num>
  <w:num w:numId="2">
    <w:abstractNumId w:val="26"/>
  </w:num>
  <w:num w:numId="3">
    <w:abstractNumId w:val="26"/>
  </w:num>
  <w:num w:numId="4">
    <w:abstractNumId w:val="6"/>
  </w:num>
  <w:num w:numId="5">
    <w:abstractNumId w:val="1"/>
  </w:num>
  <w:num w:numId="6">
    <w:abstractNumId w:val="0"/>
  </w:num>
  <w:num w:numId="7">
    <w:abstractNumId w:val="18"/>
  </w:num>
  <w:num w:numId="8">
    <w:abstractNumId w:val="21"/>
  </w:num>
  <w:num w:numId="9">
    <w:abstractNumId w:val="11"/>
  </w:num>
  <w:num w:numId="10">
    <w:abstractNumId w:val="13"/>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6"/>
  </w:num>
  <w:num w:numId="15">
    <w:abstractNumId w:val="24"/>
  </w:num>
  <w:num w:numId="16">
    <w:abstractNumId w:val="22"/>
  </w:num>
  <w:num w:numId="17">
    <w:abstractNumId w:val="20"/>
  </w:num>
  <w:num w:numId="18">
    <w:abstractNumId w:val="3"/>
  </w:num>
  <w:num w:numId="19">
    <w:abstractNumId w:val="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3"/>
  </w:num>
  <w:num w:numId="23">
    <w:abstractNumId w:val="17"/>
  </w:num>
  <w:num w:numId="24">
    <w:abstractNumId w:val="8"/>
  </w:num>
  <w:num w:numId="25">
    <w:abstractNumId w:val="25"/>
  </w:num>
  <w:num w:numId="26">
    <w:abstractNumId w:val="4"/>
  </w:num>
  <w:num w:numId="27">
    <w:abstractNumId w:val="19"/>
  </w:num>
  <w:num w:numId="28">
    <w:abstractNumId w:val="1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EE2"/>
    <w:rsid w:val="0000400D"/>
    <w:rsid w:val="000065F3"/>
    <w:rsid w:val="00015000"/>
    <w:rsid w:val="00015350"/>
    <w:rsid w:val="000225E1"/>
    <w:rsid w:val="00031E7B"/>
    <w:rsid w:val="00041D4B"/>
    <w:rsid w:val="00050123"/>
    <w:rsid w:val="000601EE"/>
    <w:rsid w:val="00060822"/>
    <w:rsid w:val="0006421C"/>
    <w:rsid w:val="00064669"/>
    <w:rsid w:val="00064F70"/>
    <w:rsid w:val="0006694F"/>
    <w:rsid w:val="00067C2C"/>
    <w:rsid w:val="00090487"/>
    <w:rsid w:val="00096330"/>
    <w:rsid w:val="000B351F"/>
    <w:rsid w:val="000B67D7"/>
    <w:rsid w:val="000B6A8B"/>
    <w:rsid w:val="001040F8"/>
    <w:rsid w:val="00106264"/>
    <w:rsid w:val="00106CC1"/>
    <w:rsid w:val="00113B72"/>
    <w:rsid w:val="00132AF9"/>
    <w:rsid w:val="0013716F"/>
    <w:rsid w:val="0014110E"/>
    <w:rsid w:val="0014716A"/>
    <w:rsid w:val="00147DC9"/>
    <w:rsid w:val="0015002B"/>
    <w:rsid w:val="00152E3F"/>
    <w:rsid w:val="001623D1"/>
    <w:rsid w:val="00163B74"/>
    <w:rsid w:val="00172C47"/>
    <w:rsid w:val="00177C0B"/>
    <w:rsid w:val="001841A2"/>
    <w:rsid w:val="001A02AC"/>
    <w:rsid w:val="001A70C3"/>
    <w:rsid w:val="001C3A8D"/>
    <w:rsid w:val="001D56FB"/>
    <w:rsid w:val="001E45A8"/>
    <w:rsid w:val="001E681F"/>
    <w:rsid w:val="001F1001"/>
    <w:rsid w:val="001F1EB6"/>
    <w:rsid w:val="001F46A3"/>
    <w:rsid w:val="001F6FEB"/>
    <w:rsid w:val="001F7780"/>
    <w:rsid w:val="00200AC6"/>
    <w:rsid w:val="002016DE"/>
    <w:rsid w:val="00216395"/>
    <w:rsid w:val="002239A2"/>
    <w:rsid w:val="00231DA7"/>
    <w:rsid w:val="002336EF"/>
    <w:rsid w:val="0023454D"/>
    <w:rsid w:val="00235A45"/>
    <w:rsid w:val="0023639A"/>
    <w:rsid w:val="00241206"/>
    <w:rsid w:val="00251B3A"/>
    <w:rsid w:val="00255C89"/>
    <w:rsid w:val="002631EF"/>
    <w:rsid w:val="00263FCC"/>
    <w:rsid w:val="00265612"/>
    <w:rsid w:val="00272EFA"/>
    <w:rsid w:val="00275022"/>
    <w:rsid w:val="002809D7"/>
    <w:rsid w:val="00281B3F"/>
    <w:rsid w:val="002907E7"/>
    <w:rsid w:val="00294728"/>
    <w:rsid w:val="00296100"/>
    <w:rsid w:val="002B3CE9"/>
    <w:rsid w:val="002C4232"/>
    <w:rsid w:val="002C68CE"/>
    <w:rsid w:val="002D1A1B"/>
    <w:rsid w:val="002D5C4F"/>
    <w:rsid w:val="002E522B"/>
    <w:rsid w:val="002F269B"/>
    <w:rsid w:val="002F4610"/>
    <w:rsid w:val="002F7D4B"/>
    <w:rsid w:val="00300639"/>
    <w:rsid w:val="00323C05"/>
    <w:rsid w:val="003246D8"/>
    <w:rsid w:val="00340DAD"/>
    <w:rsid w:val="00347B64"/>
    <w:rsid w:val="00354CA1"/>
    <w:rsid w:val="00355F3C"/>
    <w:rsid w:val="0036018E"/>
    <w:rsid w:val="00360A39"/>
    <w:rsid w:val="00362610"/>
    <w:rsid w:val="00364DF6"/>
    <w:rsid w:val="00371320"/>
    <w:rsid w:val="00373FD4"/>
    <w:rsid w:val="00375911"/>
    <w:rsid w:val="00380A59"/>
    <w:rsid w:val="003A4204"/>
    <w:rsid w:val="003A574F"/>
    <w:rsid w:val="003C4883"/>
    <w:rsid w:val="003C6C0F"/>
    <w:rsid w:val="003D27CA"/>
    <w:rsid w:val="003E3F1D"/>
    <w:rsid w:val="003F0B14"/>
    <w:rsid w:val="003F67C9"/>
    <w:rsid w:val="0040099B"/>
    <w:rsid w:val="00411E5E"/>
    <w:rsid w:val="00424126"/>
    <w:rsid w:val="00424E84"/>
    <w:rsid w:val="00425996"/>
    <w:rsid w:val="00434B6C"/>
    <w:rsid w:val="00441FD9"/>
    <w:rsid w:val="00444066"/>
    <w:rsid w:val="00451BFB"/>
    <w:rsid w:val="00456AB8"/>
    <w:rsid w:val="00460BC8"/>
    <w:rsid w:val="00461A55"/>
    <w:rsid w:val="00464C54"/>
    <w:rsid w:val="0046637A"/>
    <w:rsid w:val="00466E16"/>
    <w:rsid w:val="00467C8D"/>
    <w:rsid w:val="00471F43"/>
    <w:rsid w:val="00477EE2"/>
    <w:rsid w:val="00481B2A"/>
    <w:rsid w:val="004869F9"/>
    <w:rsid w:val="00487B4D"/>
    <w:rsid w:val="00494E75"/>
    <w:rsid w:val="00495C2C"/>
    <w:rsid w:val="004A2BDF"/>
    <w:rsid w:val="004A546D"/>
    <w:rsid w:val="004B50B4"/>
    <w:rsid w:val="004B708E"/>
    <w:rsid w:val="004C11A1"/>
    <w:rsid w:val="004D601C"/>
    <w:rsid w:val="004D60C3"/>
    <w:rsid w:val="004E66AE"/>
    <w:rsid w:val="00506836"/>
    <w:rsid w:val="00517544"/>
    <w:rsid w:val="00521A2D"/>
    <w:rsid w:val="00522618"/>
    <w:rsid w:val="005229D4"/>
    <w:rsid w:val="005238F3"/>
    <w:rsid w:val="0053568B"/>
    <w:rsid w:val="0053632E"/>
    <w:rsid w:val="0055015A"/>
    <w:rsid w:val="005648D9"/>
    <w:rsid w:val="005868FC"/>
    <w:rsid w:val="00592C9E"/>
    <w:rsid w:val="00593100"/>
    <w:rsid w:val="0059409C"/>
    <w:rsid w:val="005954A1"/>
    <w:rsid w:val="005A0692"/>
    <w:rsid w:val="005A3D97"/>
    <w:rsid w:val="005B4CEE"/>
    <w:rsid w:val="005E2F20"/>
    <w:rsid w:val="005E5F67"/>
    <w:rsid w:val="005F0E87"/>
    <w:rsid w:val="00611871"/>
    <w:rsid w:val="0062011D"/>
    <w:rsid w:val="006215EB"/>
    <w:rsid w:val="00626936"/>
    <w:rsid w:val="00642CC0"/>
    <w:rsid w:val="00655932"/>
    <w:rsid w:val="0068068F"/>
    <w:rsid w:val="00690664"/>
    <w:rsid w:val="006944F5"/>
    <w:rsid w:val="006A3C09"/>
    <w:rsid w:val="006B5F84"/>
    <w:rsid w:val="006C19C0"/>
    <w:rsid w:val="006C1E58"/>
    <w:rsid w:val="006D2128"/>
    <w:rsid w:val="006D3812"/>
    <w:rsid w:val="006E4BBC"/>
    <w:rsid w:val="006F0CDD"/>
    <w:rsid w:val="00721729"/>
    <w:rsid w:val="0072613B"/>
    <w:rsid w:val="007339E7"/>
    <w:rsid w:val="00737AE3"/>
    <w:rsid w:val="00740C5A"/>
    <w:rsid w:val="00742FE2"/>
    <w:rsid w:val="00743ADE"/>
    <w:rsid w:val="00746738"/>
    <w:rsid w:val="0074693B"/>
    <w:rsid w:val="0074780F"/>
    <w:rsid w:val="00752F6E"/>
    <w:rsid w:val="007541CD"/>
    <w:rsid w:val="00765316"/>
    <w:rsid w:val="0077123A"/>
    <w:rsid w:val="0078384F"/>
    <w:rsid w:val="00785676"/>
    <w:rsid w:val="007A6D94"/>
    <w:rsid w:val="007B4DB9"/>
    <w:rsid w:val="007B7D24"/>
    <w:rsid w:val="007C14DA"/>
    <w:rsid w:val="007C7696"/>
    <w:rsid w:val="007D0B7A"/>
    <w:rsid w:val="007D1854"/>
    <w:rsid w:val="007D77EA"/>
    <w:rsid w:val="007F1ACF"/>
    <w:rsid w:val="00801172"/>
    <w:rsid w:val="0080341A"/>
    <w:rsid w:val="00804D41"/>
    <w:rsid w:val="00817C7F"/>
    <w:rsid w:val="008218D1"/>
    <w:rsid w:val="008269A0"/>
    <w:rsid w:val="008353EF"/>
    <w:rsid w:val="00851119"/>
    <w:rsid w:val="00851697"/>
    <w:rsid w:val="00854814"/>
    <w:rsid w:val="0086065A"/>
    <w:rsid w:val="00870245"/>
    <w:rsid w:val="0087237B"/>
    <w:rsid w:val="00874C23"/>
    <w:rsid w:val="008837C6"/>
    <w:rsid w:val="00884FCD"/>
    <w:rsid w:val="008933CD"/>
    <w:rsid w:val="0089406E"/>
    <w:rsid w:val="008A05FA"/>
    <w:rsid w:val="008A3AEE"/>
    <w:rsid w:val="008A4696"/>
    <w:rsid w:val="008B33C9"/>
    <w:rsid w:val="008C03AF"/>
    <w:rsid w:val="008C5B1E"/>
    <w:rsid w:val="008C76B0"/>
    <w:rsid w:val="008D4057"/>
    <w:rsid w:val="008D642B"/>
    <w:rsid w:val="008D651D"/>
    <w:rsid w:val="008E41D1"/>
    <w:rsid w:val="008F1C2A"/>
    <w:rsid w:val="008F4144"/>
    <w:rsid w:val="00903CE8"/>
    <w:rsid w:val="00924B05"/>
    <w:rsid w:val="00926789"/>
    <w:rsid w:val="0093130A"/>
    <w:rsid w:val="0095140C"/>
    <w:rsid w:val="00951DFE"/>
    <w:rsid w:val="00965348"/>
    <w:rsid w:val="00973FF6"/>
    <w:rsid w:val="00982029"/>
    <w:rsid w:val="00983204"/>
    <w:rsid w:val="009837C2"/>
    <w:rsid w:val="00991FE4"/>
    <w:rsid w:val="009926A3"/>
    <w:rsid w:val="00997E73"/>
    <w:rsid w:val="009A027A"/>
    <w:rsid w:val="009A5B5C"/>
    <w:rsid w:val="009A634E"/>
    <w:rsid w:val="009B1BCC"/>
    <w:rsid w:val="009B296D"/>
    <w:rsid w:val="009B50CF"/>
    <w:rsid w:val="009B775C"/>
    <w:rsid w:val="009D5C78"/>
    <w:rsid w:val="009E2924"/>
    <w:rsid w:val="009F1D93"/>
    <w:rsid w:val="00A14DC3"/>
    <w:rsid w:val="00A318A8"/>
    <w:rsid w:val="00A32294"/>
    <w:rsid w:val="00A35ADB"/>
    <w:rsid w:val="00A363A2"/>
    <w:rsid w:val="00A44975"/>
    <w:rsid w:val="00A5578B"/>
    <w:rsid w:val="00A654B3"/>
    <w:rsid w:val="00A67555"/>
    <w:rsid w:val="00A67A0D"/>
    <w:rsid w:val="00A72230"/>
    <w:rsid w:val="00A8050C"/>
    <w:rsid w:val="00A83C53"/>
    <w:rsid w:val="00A9567C"/>
    <w:rsid w:val="00A95AE8"/>
    <w:rsid w:val="00A967DF"/>
    <w:rsid w:val="00AA0B99"/>
    <w:rsid w:val="00AA246B"/>
    <w:rsid w:val="00AB4B40"/>
    <w:rsid w:val="00AC1E57"/>
    <w:rsid w:val="00AC79E5"/>
    <w:rsid w:val="00AD2368"/>
    <w:rsid w:val="00AE2ADC"/>
    <w:rsid w:val="00AF2403"/>
    <w:rsid w:val="00AF27D9"/>
    <w:rsid w:val="00AF6E18"/>
    <w:rsid w:val="00B00B7D"/>
    <w:rsid w:val="00B029B7"/>
    <w:rsid w:val="00B037E7"/>
    <w:rsid w:val="00B04120"/>
    <w:rsid w:val="00B043FF"/>
    <w:rsid w:val="00B04444"/>
    <w:rsid w:val="00B04959"/>
    <w:rsid w:val="00B04CE8"/>
    <w:rsid w:val="00B053E1"/>
    <w:rsid w:val="00B20961"/>
    <w:rsid w:val="00B2245D"/>
    <w:rsid w:val="00B35C6D"/>
    <w:rsid w:val="00B37540"/>
    <w:rsid w:val="00B43CEE"/>
    <w:rsid w:val="00B44523"/>
    <w:rsid w:val="00B45FA7"/>
    <w:rsid w:val="00B5009D"/>
    <w:rsid w:val="00B5053C"/>
    <w:rsid w:val="00B63016"/>
    <w:rsid w:val="00B71292"/>
    <w:rsid w:val="00B75494"/>
    <w:rsid w:val="00B852B9"/>
    <w:rsid w:val="00B86783"/>
    <w:rsid w:val="00B97EE2"/>
    <w:rsid w:val="00BA1871"/>
    <w:rsid w:val="00BA22AA"/>
    <w:rsid w:val="00BA27D7"/>
    <w:rsid w:val="00BC48DB"/>
    <w:rsid w:val="00BD1C3B"/>
    <w:rsid w:val="00BE32A1"/>
    <w:rsid w:val="00BF4A80"/>
    <w:rsid w:val="00C00CC7"/>
    <w:rsid w:val="00C0294C"/>
    <w:rsid w:val="00C12F0D"/>
    <w:rsid w:val="00C14C92"/>
    <w:rsid w:val="00C2601C"/>
    <w:rsid w:val="00C30356"/>
    <w:rsid w:val="00C320AD"/>
    <w:rsid w:val="00C523BA"/>
    <w:rsid w:val="00C56FF7"/>
    <w:rsid w:val="00C65848"/>
    <w:rsid w:val="00C81B15"/>
    <w:rsid w:val="00C91B3C"/>
    <w:rsid w:val="00C93D3E"/>
    <w:rsid w:val="00C9762C"/>
    <w:rsid w:val="00CA1743"/>
    <w:rsid w:val="00CA187F"/>
    <w:rsid w:val="00CB0961"/>
    <w:rsid w:val="00CB1F03"/>
    <w:rsid w:val="00CB74F1"/>
    <w:rsid w:val="00CD037E"/>
    <w:rsid w:val="00CD3943"/>
    <w:rsid w:val="00CD7880"/>
    <w:rsid w:val="00CE06CA"/>
    <w:rsid w:val="00CE0F8F"/>
    <w:rsid w:val="00CE3767"/>
    <w:rsid w:val="00CE6EA3"/>
    <w:rsid w:val="00CF2CF9"/>
    <w:rsid w:val="00CF4E19"/>
    <w:rsid w:val="00CF6FB1"/>
    <w:rsid w:val="00D0090B"/>
    <w:rsid w:val="00D026AA"/>
    <w:rsid w:val="00D03390"/>
    <w:rsid w:val="00D1322E"/>
    <w:rsid w:val="00D2475B"/>
    <w:rsid w:val="00D41726"/>
    <w:rsid w:val="00D41D5D"/>
    <w:rsid w:val="00D423E6"/>
    <w:rsid w:val="00D452F3"/>
    <w:rsid w:val="00D508AE"/>
    <w:rsid w:val="00D51401"/>
    <w:rsid w:val="00D60074"/>
    <w:rsid w:val="00D61C13"/>
    <w:rsid w:val="00D72BB6"/>
    <w:rsid w:val="00D81004"/>
    <w:rsid w:val="00D938AF"/>
    <w:rsid w:val="00D97C1D"/>
    <w:rsid w:val="00DA3408"/>
    <w:rsid w:val="00DA3984"/>
    <w:rsid w:val="00DB1AE5"/>
    <w:rsid w:val="00DB219A"/>
    <w:rsid w:val="00DB31B4"/>
    <w:rsid w:val="00DB640C"/>
    <w:rsid w:val="00DC5D87"/>
    <w:rsid w:val="00DE03D0"/>
    <w:rsid w:val="00DE1519"/>
    <w:rsid w:val="00DE3933"/>
    <w:rsid w:val="00DE61E9"/>
    <w:rsid w:val="00DF001B"/>
    <w:rsid w:val="00DF744A"/>
    <w:rsid w:val="00E01033"/>
    <w:rsid w:val="00E02790"/>
    <w:rsid w:val="00E05CB9"/>
    <w:rsid w:val="00E1246E"/>
    <w:rsid w:val="00E12A43"/>
    <w:rsid w:val="00E1309B"/>
    <w:rsid w:val="00E227AA"/>
    <w:rsid w:val="00E24682"/>
    <w:rsid w:val="00E25F07"/>
    <w:rsid w:val="00E26B4A"/>
    <w:rsid w:val="00E2788E"/>
    <w:rsid w:val="00E27937"/>
    <w:rsid w:val="00E30795"/>
    <w:rsid w:val="00E367CB"/>
    <w:rsid w:val="00E415AC"/>
    <w:rsid w:val="00E418DC"/>
    <w:rsid w:val="00E4662B"/>
    <w:rsid w:val="00E53126"/>
    <w:rsid w:val="00E55C04"/>
    <w:rsid w:val="00E741B3"/>
    <w:rsid w:val="00E748E3"/>
    <w:rsid w:val="00E757C9"/>
    <w:rsid w:val="00E80B00"/>
    <w:rsid w:val="00E8431F"/>
    <w:rsid w:val="00E94B6D"/>
    <w:rsid w:val="00EA5E0C"/>
    <w:rsid w:val="00EA691F"/>
    <w:rsid w:val="00EB186A"/>
    <w:rsid w:val="00EB29DE"/>
    <w:rsid w:val="00EB5788"/>
    <w:rsid w:val="00EC38D3"/>
    <w:rsid w:val="00EC4886"/>
    <w:rsid w:val="00EC4BF8"/>
    <w:rsid w:val="00ED3925"/>
    <w:rsid w:val="00EE7905"/>
    <w:rsid w:val="00EE7D87"/>
    <w:rsid w:val="00EF4583"/>
    <w:rsid w:val="00EF7B3C"/>
    <w:rsid w:val="00F15B87"/>
    <w:rsid w:val="00F22880"/>
    <w:rsid w:val="00F238B4"/>
    <w:rsid w:val="00F23A6B"/>
    <w:rsid w:val="00F27A69"/>
    <w:rsid w:val="00F321A1"/>
    <w:rsid w:val="00F340B5"/>
    <w:rsid w:val="00F40FE6"/>
    <w:rsid w:val="00F44F2F"/>
    <w:rsid w:val="00F4788E"/>
    <w:rsid w:val="00F54C84"/>
    <w:rsid w:val="00F54CF5"/>
    <w:rsid w:val="00F609CE"/>
    <w:rsid w:val="00F62AE5"/>
    <w:rsid w:val="00F672C9"/>
    <w:rsid w:val="00F71020"/>
    <w:rsid w:val="00F80176"/>
    <w:rsid w:val="00F82742"/>
    <w:rsid w:val="00F87266"/>
    <w:rsid w:val="00F94409"/>
    <w:rsid w:val="00FA58A6"/>
    <w:rsid w:val="00FA6813"/>
    <w:rsid w:val="00FB3130"/>
    <w:rsid w:val="00FB5433"/>
    <w:rsid w:val="00FB5B59"/>
    <w:rsid w:val="00FC2AE5"/>
    <w:rsid w:val="00FD33CE"/>
    <w:rsid w:val="00FD3442"/>
    <w:rsid w:val="00FD4733"/>
    <w:rsid w:val="00FD679A"/>
    <w:rsid w:val="00FF0D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A818A"/>
  <w15:docId w15:val="{C42843C0-3DDE-45F0-BE22-27613A10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48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C4886"/>
    <w:pPr>
      <w:spacing w:after="0"/>
      <w:ind w:left="720"/>
      <w:contextualSpacing/>
    </w:pPr>
    <w:rPr>
      <w:rFonts w:ascii="Arial" w:hAnsi="Arial"/>
    </w:rPr>
  </w:style>
  <w:style w:type="paragraph" w:styleId="Nagwek">
    <w:name w:val="header"/>
    <w:basedOn w:val="Normalny"/>
    <w:link w:val="NagwekZnak"/>
    <w:uiPriority w:val="99"/>
    <w:unhideWhenUsed/>
    <w:rsid w:val="004D60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60C3"/>
  </w:style>
  <w:style w:type="paragraph" w:styleId="Stopka">
    <w:name w:val="footer"/>
    <w:basedOn w:val="Normalny"/>
    <w:link w:val="StopkaZnak"/>
    <w:uiPriority w:val="99"/>
    <w:unhideWhenUsed/>
    <w:rsid w:val="004D60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60C3"/>
  </w:style>
  <w:style w:type="paragraph" w:styleId="Tekstdymka">
    <w:name w:val="Balloon Text"/>
    <w:basedOn w:val="Normalny"/>
    <w:link w:val="TekstdymkaZnak"/>
    <w:uiPriority w:val="99"/>
    <w:semiHidden/>
    <w:unhideWhenUsed/>
    <w:rsid w:val="004D60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60C3"/>
    <w:rPr>
      <w:rFonts w:ascii="Tahoma" w:hAnsi="Tahoma" w:cs="Tahoma"/>
      <w:sz w:val="16"/>
      <w:szCs w:val="16"/>
    </w:rPr>
  </w:style>
  <w:style w:type="character" w:customStyle="1" w:styleId="phone">
    <w:name w:val="phone"/>
    <w:basedOn w:val="Domylnaczcionkaakapitu"/>
    <w:rsid w:val="004D60C3"/>
  </w:style>
  <w:style w:type="paragraph" w:customStyle="1" w:styleId="Default">
    <w:name w:val="Default"/>
    <w:rsid w:val="004B50B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Normalny"/>
    <w:rsid w:val="00F71020"/>
    <w:pPr>
      <w:spacing w:before="100" w:beforeAutospacing="1" w:after="0" w:line="240" w:lineRule="auto"/>
      <w:jc w:val="both"/>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A58A6"/>
    <w:rPr>
      <w:b/>
      <w:bCs/>
    </w:rPr>
  </w:style>
  <w:style w:type="character" w:styleId="Uwydatnienie">
    <w:name w:val="Emphasis"/>
    <w:rsid w:val="00517544"/>
    <w:rPr>
      <w:i/>
      <w:iCs/>
    </w:rPr>
  </w:style>
  <w:style w:type="paragraph" w:styleId="Tekstprzypisudolnego">
    <w:name w:val="footnote text"/>
    <w:basedOn w:val="Normalny"/>
    <w:link w:val="TekstprzypisudolnegoZnak"/>
    <w:uiPriority w:val="99"/>
    <w:semiHidden/>
    <w:unhideWhenUsed/>
    <w:rsid w:val="0085169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51697"/>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51697"/>
    <w:rPr>
      <w:vertAlign w:val="superscript"/>
    </w:rPr>
  </w:style>
  <w:style w:type="table" w:styleId="Tabela-Siatka">
    <w:name w:val="Table Grid"/>
    <w:basedOn w:val="Standardowy"/>
    <w:uiPriority w:val="39"/>
    <w:rsid w:val="00586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5009D"/>
    <w:rPr>
      <w:color w:val="0000FF" w:themeColor="hyperlink"/>
      <w:u w:val="single"/>
    </w:rPr>
  </w:style>
  <w:style w:type="character" w:styleId="Nierozpoznanawzmianka">
    <w:name w:val="Unresolved Mention"/>
    <w:basedOn w:val="Domylnaczcionkaakapitu"/>
    <w:uiPriority w:val="99"/>
    <w:semiHidden/>
    <w:unhideWhenUsed/>
    <w:rsid w:val="00B50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035">
      <w:bodyDiv w:val="1"/>
      <w:marLeft w:val="0"/>
      <w:marRight w:val="0"/>
      <w:marTop w:val="0"/>
      <w:marBottom w:val="0"/>
      <w:divBdr>
        <w:top w:val="none" w:sz="0" w:space="0" w:color="auto"/>
        <w:left w:val="none" w:sz="0" w:space="0" w:color="auto"/>
        <w:bottom w:val="none" w:sz="0" w:space="0" w:color="auto"/>
        <w:right w:val="none" w:sz="0" w:space="0" w:color="auto"/>
      </w:divBdr>
    </w:div>
    <w:div w:id="782773992">
      <w:bodyDiv w:val="1"/>
      <w:marLeft w:val="0"/>
      <w:marRight w:val="0"/>
      <w:marTop w:val="0"/>
      <w:marBottom w:val="0"/>
      <w:divBdr>
        <w:top w:val="none" w:sz="0" w:space="0" w:color="auto"/>
        <w:left w:val="none" w:sz="0" w:space="0" w:color="auto"/>
        <w:bottom w:val="none" w:sz="0" w:space="0" w:color="auto"/>
        <w:right w:val="none" w:sz="0" w:space="0" w:color="auto"/>
      </w:divBdr>
    </w:div>
    <w:div w:id="806582827">
      <w:bodyDiv w:val="1"/>
      <w:marLeft w:val="0"/>
      <w:marRight w:val="0"/>
      <w:marTop w:val="0"/>
      <w:marBottom w:val="0"/>
      <w:divBdr>
        <w:top w:val="none" w:sz="0" w:space="0" w:color="auto"/>
        <w:left w:val="none" w:sz="0" w:space="0" w:color="auto"/>
        <w:bottom w:val="none" w:sz="0" w:space="0" w:color="auto"/>
        <w:right w:val="none" w:sz="0" w:space="0" w:color="auto"/>
      </w:divBdr>
    </w:div>
    <w:div w:id="978995218">
      <w:bodyDiv w:val="1"/>
      <w:marLeft w:val="0"/>
      <w:marRight w:val="0"/>
      <w:marTop w:val="0"/>
      <w:marBottom w:val="0"/>
      <w:divBdr>
        <w:top w:val="none" w:sz="0" w:space="0" w:color="auto"/>
        <w:left w:val="none" w:sz="0" w:space="0" w:color="auto"/>
        <w:bottom w:val="none" w:sz="0" w:space="0" w:color="auto"/>
        <w:right w:val="none" w:sz="0" w:space="0" w:color="auto"/>
      </w:divBdr>
    </w:div>
    <w:div w:id="1132097191">
      <w:bodyDiv w:val="1"/>
      <w:marLeft w:val="0"/>
      <w:marRight w:val="0"/>
      <w:marTop w:val="0"/>
      <w:marBottom w:val="0"/>
      <w:divBdr>
        <w:top w:val="none" w:sz="0" w:space="0" w:color="auto"/>
        <w:left w:val="none" w:sz="0" w:space="0" w:color="auto"/>
        <w:bottom w:val="none" w:sz="0" w:space="0" w:color="auto"/>
        <w:right w:val="none" w:sz="0" w:space="0" w:color="auto"/>
      </w:divBdr>
    </w:div>
    <w:div w:id="211126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bels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33AA0-3CC5-49CE-AE2D-A9B031C12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7</Pages>
  <Words>3132</Words>
  <Characters>18794</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Krupa</dc:creator>
  <cp:lastModifiedBy>Ewa Błach</cp:lastModifiedBy>
  <cp:revision>20</cp:revision>
  <cp:lastPrinted>2020-11-12T11:29:00Z</cp:lastPrinted>
  <dcterms:created xsi:type="dcterms:W3CDTF">2020-10-01T09:24:00Z</dcterms:created>
  <dcterms:modified xsi:type="dcterms:W3CDTF">2020-11-16T08:39:00Z</dcterms:modified>
</cp:coreProperties>
</file>