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Załącznik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  </w:t>
        <w:tab/>
        <w:t xml:space="preserve">                          do uchwały Nr…………………………..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 xml:space="preserve">        Zarządu Województwa Lubelskiego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 xml:space="preserve">       </w:t>
        <w:tab/>
        <w:t xml:space="preserve">        z dnia…………………………………2017 r.  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26"/>
          <w:szCs w:val="26"/>
        </w:rPr>
        <w:t>WYKAZ POMIESZCZEŃ PRZEZNACZONYCH DO WYNAJĘCIA W TRYBIE BEZPRZETARGOWYM NA OKRES DO</w:t>
        <w:br/>
        <w:t xml:space="preserve">3 LAT, W BUDYNKU PRZY UL. LUBARTOWSKIEJ 4 W PARCZEWIE 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Nieruchomość położona w Parczewie przy ul. Lubartowskiej 4.</w:t>
        <w:tab/>
      </w:r>
      <w:r>
        <w:rPr>
          <w:rFonts w:cs="Arial" w:ascii="Arial" w:hAnsi="Arial"/>
          <w:b/>
          <w:bCs/>
          <w:sz w:val="22"/>
          <w:szCs w:val="22"/>
        </w:rPr>
        <w:t>KW LU1R/00058255/9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- Sąd Rejonowy w Radzyniu Podlaskim.</w:t>
        <w:tab/>
        <w:t>Przedmiotem najmu są niżej wskazane pomieszczenia, znajdujące się na pierwszym pietrze w budynku usytuowanym na działce 1132/4 o pow. 0,2104 ha, z przeznaczeniem na siedzibę Powiatowego Zespołu Doradztwa Rolniczego w Parczewie.</w:t>
        <w:tab/>
      </w:r>
      <w:r>
        <w:rPr>
          <w:rFonts w:cs="Arial" w:ascii="Arial" w:hAnsi="Arial"/>
          <w:b/>
          <w:color w:val="000000"/>
          <w:sz w:val="22"/>
          <w:szCs w:val="22"/>
          <w:u w:val="none"/>
        </w:rPr>
        <w:t>Zgodnie z miejscowym planem zagospodarowania przestrzennego Urzędu Gminy w Parczewie, nieruchomość położona jest na terenie oznaczonym symbolem A - administracja.</w:t>
      </w:r>
    </w:p>
    <w:tbl>
      <w:tblPr>
        <w:tblW w:w="14220" w:type="dxa"/>
        <w:jc w:val="left"/>
        <w:tblInd w:w="-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133"/>
        <w:gridCol w:w="2268"/>
        <w:gridCol w:w="1701"/>
        <w:gridCol w:w="2551"/>
        <w:gridCol w:w="2552"/>
        <w:gridCol w:w="1985"/>
        <w:gridCol w:w="2029"/>
      </w:tblGrid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Położenie pomieszczenia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Numer pomieszczenia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Powierzchnia pomieszczenia w m</w:t>
            </w: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Powierzchnia łącznie w m</w:t>
            </w: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Data obecnie obowiązującej umowy najmu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Czynsz najmu netto 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Pomieszczenie biurowe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13,41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67,50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31.12.2017 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cs="Arial" w:ascii="Arial" w:hAnsi="Arial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position w:val="0"/>
                <w:sz w:val="18"/>
                <w:sz w:val="18"/>
                <w:szCs w:val="18"/>
                <w:vertAlign w:val="baseline"/>
              </w:rPr>
              <w:t>472,50 zł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Pomieszczenie biurowe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14,40</w:t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Pomieszczenie biurowe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9,73</w:t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Pomieszczenie biurowe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7,84</w:t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Udział w korytarzach i w.c.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22,12</w:t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120" w:after="200"/>
        <w:ind w:left="0" w:right="0" w:hanging="0"/>
        <w:jc w:val="both"/>
        <w:rPr/>
      </w:pPr>
      <w:r>
        <w:rPr>
          <w:rFonts w:cs="Arial" w:ascii="Arial" w:hAnsi="Arial"/>
          <w:b/>
          <w:sz w:val="22"/>
          <w:szCs w:val="22"/>
          <w:u w:val="single"/>
        </w:rPr>
        <w:t>Uwaga:</w:t>
      </w:r>
      <w:r>
        <w:rPr>
          <w:rFonts w:cs="Arial" w:ascii="Arial" w:hAnsi="Arial"/>
          <w:sz w:val="22"/>
          <w:szCs w:val="22"/>
        </w:rPr>
        <w:t xml:space="preserve"> do czynszu najmu zostanie doliczony podatek VAT zgodnie z przepisami obowiązującymi w dniu wystawienia faktury. Czynsz najmu płatny w terminie 14 dni od dnia otrzymania faktury, nie później jednak niż do dnia 20 każdego miesiąca. Oprócz czynszu najemca ponosił będzie opłaty eksploatacji i utrzymania nieruchomości proporcjonalnie do powierzchni najmu oraz opłaty zmienne z tytułu energii elektrycznej na podstawie odczytu podliczników. Umowa najmu na okres do 3 lat. Waloryzacja (tj. podwyższenie) stawki czynszu dokonywana będzie raz do roku stosownie do średniorocznego wskaźnika wzrostu cen towarów i usług konsumpcyjnych publikowanych przez GUS.</w:t>
        <w:tab/>
        <w:t xml:space="preserve"> </w:t>
        <w:br/>
        <w:t>Zgodnie z przepisami art. 35 ust. 1 i ust. 2 ustawy z dnia 21 sierpnia 1997 o gospodarce nieruchomościami (Dz. U. z 2016 r. poz. 2147 z późn. zm.) podaje się do publicznej wiadomości, wykaz nieruchomości stanowiących własność Województwa Lubelskiego przeznaczonej do wynajęcia w trybie bezprzetargowym.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2aa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pPr>
      <w:outlineLvl w:val="0"/>
    </w:pPr>
    <w:rPr/>
  </w:style>
  <w:style w:type="paragraph" w:styleId="Nagwek2">
    <w:name w:val="Nagłówek 2"/>
    <w:basedOn w:val="Normal"/>
    <w:link w:val="Nagwek2Znak"/>
    <w:uiPriority w:val="99"/>
    <w:qFormat/>
    <w:rsid w:val="00b32aa7"/>
    <w:pPr>
      <w:keepNext/>
      <w:spacing w:lineRule="auto" w:line="240" w:before="0" w:after="0"/>
      <w:jc w:val="center"/>
      <w:outlineLvl w:val="1"/>
    </w:pPr>
    <w:rPr>
      <w:rFonts w:eastAsia="Times New Roman"/>
      <w:lang w:eastAsia="pl-PL"/>
    </w:rPr>
  </w:style>
  <w:style w:type="paragraph" w:styleId="Nagwek3">
    <w:name w:val="Nagłówek 3"/>
    <w:basedOn w:val="Gwk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9"/>
    <w:qFormat/>
    <w:rsid w:val="00b32aa7"/>
    <w:rPr>
      <w:rFonts w:ascii="Calibri" w:hAnsi="Calibri" w:eastAsia="Times New Roman" w:cs="Times New Roman"/>
      <w:lang w:eastAsia="pl-PL"/>
    </w:rPr>
  </w:style>
  <w:style w:type="character" w:styleId="TytuZnak" w:customStyle="1">
    <w:name w:val="Tytuł Znak"/>
    <w:basedOn w:val="DefaultParagraphFont"/>
    <w:link w:val="Tytu"/>
    <w:uiPriority w:val="99"/>
    <w:qFormat/>
    <w:rsid w:val="00b32aa7"/>
    <w:rPr>
      <w:rFonts w:ascii="Verdana" w:hAnsi="Verdana" w:eastAsia="Times New Roman" w:cs="Times New Roman"/>
      <w:b/>
      <w:bCs/>
      <w:sz w:val="20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uiPriority w:val="99"/>
    <w:qFormat/>
    <w:rsid w:val="00b32aa7"/>
    <w:rPr>
      <w:rFonts w:ascii="Verdana" w:hAnsi="Verdana" w:eastAsia="Times New Roman" w:cs="Times New Roman"/>
      <w:b/>
      <w:bCs/>
      <w:sz w:val="20"/>
      <w:szCs w:val="24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ytu">
    <w:name w:val="Tytuł"/>
    <w:basedOn w:val="Normal"/>
    <w:link w:val="TytuZnak"/>
    <w:uiPriority w:val="99"/>
    <w:qFormat/>
    <w:rsid w:val="00b32aa7"/>
    <w:pPr>
      <w:spacing w:lineRule="auto" w:line="240" w:before="0" w:after="0"/>
      <w:jc w:val="center"/>
    </w:pPr>
    <w:rPr>
      <w:rFonts w:ascii="Verdana" w:hAnsi="Verdana" w:eastAsia="Times New Roman"/>
      <w:b/>
      <w:bCs/>
      <w:sz w:val="20"/>
      <w:szCs w:val="24"/>
      <w:lang w:eastAsia="pl-PL"/>
    </w:rPr>
  </w:style>
  <w:style w:type="paragraph" w:styleId="Podtytu">
    <w:name w:val="Podtytuł"/>
    <w:basedOn w:val="Normal"/>
    <w:link w:val="PodtytuZnak"/>
    <w:uiPriority w:val="99"/>
    <w:qFormat/>
    <w:rsid w:val="00b32aa7"/>
    <w:pPr>
      <w:spacing w:lineRule="auto" w:line="240" w:before="0" w:after="0"/>
      <w:jc w:val="both"/>
    </w:pPr>
    <w:rPr>
      <w:rFonts w:ascii="Verdana" w:hAnsi="Verdana" w:eastAsia="Times New Roman"/>
      <w:b/>
      <w:bCs/>
      <w:sz w:val="20"/>
      <w:szCs w:val="24"/>
      <w:lang w:eastAsia="pl-PL"/>
    </w:rPr>
  </w:style>
  <w:style w:type="paragraph" w:styleId="Cytaty" w:customStyle="1">
    <w:name w:val="Cytaty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paragraph" w:styleId="Bezodstpw">
    <w:name w:val="Bez odstępów"/>
    <w:qFormat/>
    <w:pPr>
      <w:widowControl/>
      <w:suppressAutoHyphens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10579</TotalTime>
  <Application>OpenOfficePL_Professional/5.0.1.4$Windows_x86 LibreOffice_project/13f702ca819ea5b9f8605782c852d5bb513b3891</Application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2015-07-08T07:45:00Z</dcterms:created>
  <dc:creator>Adrian Naumowicz</dc:creator>
  <dc:language>pl-PL</dc:language>
  <cp:lastPrinted>2017-11-17T11:54:27Z</cp:lastPrinted>
  <dcterms:modified xsi:type="dcterms:W3CDTF">2017-12-13T12:46:41Z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