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85" w:rsidRDefault="00A71185" w:rsidP="00A71185">
      <w:pPr>
        <w:tabs>
          <w:tab w:val="left" w:pos="3360"/>
        </w:tabs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>OGŁOSZENIE O PRZETARGU</w:t>
      </w:r>
    </w:p>
    <w:p w:rsidR="00A71185" w:rsidRDefault="00A71185" w:rsidP="00A71185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71185" w:rsidRDefault="00A71185" w:rsidP="00A71185">
      <w:pPr>
        <w:jc w:val="center"/>
      </w:pPr>
      <w:r>
        <w:rPr>
          <w:rFonts w:ascii="Arial" w:hAnsi="Arial" w:cs="Arial"/>
          <w:b/>
          <w:sz w:val="22"/>
          <w:szCs w:val="22"/>
        </w:rPr>
        <w:t>ZARZĄD WOJEWÓDZTWA LUBELSKIEGO</w:t>
      </w:r>
    </w:p>
    <w:p w:rsidR="00A71185" w:rsidRDefault="00A71185" w:rsidP="00A71185">
      <w:pPr>
        <w:jc w:val="center"/>
        <w:rPr>
          <w:rFonts w:ascii="Arial" w:hAnsi="Arial" w:cs="Arial"/>
          <w:b/>
          <w:sz w:val="22"/>
          <w:szCs w:val="22"/>
        </w:rPr>
      </w:pPr>
    </w:p>
    <w:p w:rsidR="00A71185" w:rsidRDefault="00A71185" w:rsidP="00A71185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ogłasza II przetarg ustny nieograniczony na sprzedaż nieruchomości stanowiącej własność Województwa Lubelskiego położonej w:</w:t>
      </w:r>
    </w:p>
    <w:p w:rsidR="00A71185" w:rsidRDefault="00A71185" w:rsidP="00A71185">
      <w:pPr>
        <w:spacing w:line="312" w:lineRule="auto"/>
        <w:jc w:val="center"/>
        <w:rPr>
          <w:b/>
        </w:rPr>
      </w:pPr>
    </w:p>
    <w:p w:rsidR="00A71185" w:rsidRDefault="00A71185" w:rsidP="00A71185">
      <w:pPr>
        <w:spacing w:line="312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Opolu Lubelskim przy ul. Przemysłowej 31. Nieruchomość stanowi lokal mieszkalny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pow. użytkowej 49.78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usytuowany w budynku położonym na działce </w:t>
      </w:r>
      <w:proofErr w:type="spellStart"/>
      <w:r>
        <w:rPr>
          <w:rFonts w:ascii="Arial" w:hAnsi="Arial" w:cs="Arial"/>
          <w:sz w:val="22"/>
          <w:szCs w:val="22"/>
        </w:rPr>
        <w:t>ozn</w:t>
      </w:r>
      <w:proofErr w:type="spellEnd"/>
      <w:r>
        <w:rPr>
          <w:rFonts w:ascii="Arial" w:hAnsi="Arial" w:cs="Arial"/>
          <w:sz w:val="22"/>
          <w:szCs w:val="22"/>
        </w:rPr>
        <w:t>. nr 1079/1</w:t>
      </w:r>
      <w:r>
        <w:rPr>
          <w:rFonts w:ascii="Arial" w:hAnsi="Arial" w:cs="Arial"/>
          <w:sz w:val="22"/>
          <w:szCs w:val="22"/>
        </w:rPr>
        <w:br/>
        <w:t>o pow. 0,0861 ha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Sprzedaż nieruchomości następuje wraz z udziałem wynoszącym 5978/44120 we współwłasności działki nr 1079/1 o pow. 0,0861 ha oraz części wspólnych budynku i urządzeń, które nie służą do wyłącznego użytku właściciela lokalu. Przedmiotowy lokal składa się z przedpokoju, 2 pokoi, kuchni oraz łazienki z </w:t>
      </w:r>
      <w:proofErr w:type="spellStart"/>
      <w:r>
        <w:rPr>
          <w:rFonts w:ascii="Arial" w:hAnsi="Arial" w:cs="Arial"/>
          <w:sz w:val="22"/>
          <w:szCs w:val="22"/>
        </w:rPr>
        <w:t>wc</w:t>
      </w:r>
      <w:proofErr w:type="spellEnd"/>
      <w:r>
        <w:rPr>
          <w:rFonts w:ascii="Arial" w:hAnsi="Arial" w:cs="Arial"/>
          <w:sz w:val="22"/>
          <w:szCs w:val="22"/>
        </w:rPr>
        <w:t>. Do lokalu przynależna jest piwnica 10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 Zgodnie z miejscowym planem zagospodarowania przestrzennego działka położona na terenie zabudowy mieszkaniowej i nieuciążliwych usług.</w:t>
      </w:r>
    </w:p>
    <w:p w:rsidR="00A71185" w:rsidRDefault="00A71185" w:rsidP="00A7118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A71185" w:rsidRDefault="00A71185" w:rsidP="00A7118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przetarg na sprzedaż w/w nieruchomości odbył się w dniu 26 października 2017 r.</w:t>
      </w:r>
    </w:p>
    <w:p w:rsidR="00A71185" w:rsidRDefault="00A71185" w:rsidP="00A71185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KW NR LU1O/00063790/7</w:t>
      </w:r>
      <w:r>
        <w:rPr>
          <w:rFonts w:ascii="Arial" w:hAnsi="Arial" w:cs="Arial"/>
          <w:b/>
          <w:sz w:val="22"/>
          <w:szCs w:val="22"/>
        </w:rPr>
        <w:t>– Sąd Rejonowy w Opolu Lubelskim.</w:t>
      </w:r>
    </w:p>
    <w:p w:rsidR="00A71185" w:rsidRDefault="00A71185" w:rsidP="00A71185">
      <w:pPr>
        <w:spacing w:line="312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sz w:val="22"/>
          <w:szCs w:val="22"/>
        </w:rPr>
        <w:t xml:space="preserve">Cena wywoławcza w II </w:t>
      </w:r>
      <w:r>
        <w:rPr>
          <w:rFonts w:ascii="Arial" w:hAnsi="Arial" w:cs="Arial"/>
          <w:b/>
          <w:color w:val="auto"/>
          <w:sz w:val="22"/>
          <w:szCs w:val="22"/>
        </w:rPr>
        <w:t>przetargu: 140 000,00 zł</w:t>
      </w:r>
      <w:r>
        <w:rPr>
          <w:rFonts w:ascii="Arial" w:hAnsi="Arial" w:cs="Arial"/>
          <w:b/>
          <w:color w:val="auto"/>
          <w:sz w:val="22"/>
          <w:szCs w:val="22"/>
          <w:vertAlign w:val="superscript"/>
        </w:rPr>
        <w:t>*</w:t>
      </w:r>
      <w:r>
        <w:rPr>
          <w:rFonts w:ascii="Arial" w:hAnsi="Arial" w:cs="Arial"/>
          <w:b/>
          <w:color w:val="auto"/>
          <w:sz w:val="22"/>
          <w:szCs w:val="22"/>
        </w:rPr>
        <w:t>, Wadium: 14 000,00 zł,</w:t>
      </w:r>
    </w:p>
    <w:p w:rsidR="00A71185" w:rsidRDefault="00A71185" w:rsidP="00A71185">
      <w:pPr>
        <w:spacing w:line="312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  <w:sz w:val="22"/>
          <w:szCs w:val="22"/>
        </w:rPr>
        <w:t>Minimalne postąpienie: 1 400,00 zł.</w:t>
      </w:r>
    </w:p>
    <w:p w:rsidR="00A71185" w:rsidRDefault="00A71185" w:rsidP="00A71185">
      <w:pPr>
        <w:rPr>
          <w:rFonts w:ascii="Arial" w:hAnsi="Arial" w:cs="Arial"/>
          <w:b/>
          <w:color w:val="auto"/>
          <w:sz w:val="22"/>
          <w:szCs w:val="22"/>
        </w:rPr>
      </w:pPr>
    </w:p>
    <w:p w:rsidR="00A71185" w:rsidRDefault="00A71185" w:rsidP="00A71185">
      <w:pPr>
        <w:rPr>
          <w:rFonts w:ascii="Arial" w:hAnsi="Arial" w:cs="Arial"/>
          <w:b/>
          <w:sz w:val="22"/>
          <w:szCs w:val="22"/>
        </w:rPr>
      </w:pPr>
    </w:p>
    <w:p w:rsidR="00A71185" w:rsidRDefault="00A71185" w:rsidP="00A71185">
      <w:pPr>
        <w:tabs>
          <w:tab w:val="left" w:pos="0"/>
        </w:tabs>
        <w:jc w:val="center"/>
      </w:pPr>
      <w:r>
        <w:rPr>
          <w:rFonts w:ascii="Arial" w:hAnsi="Arial" w:cs="Arial"/>
          <w:b/>
          <w:sz w:val="22"/>
          <w:szCs w:val="22"/>
        </w:rPr>
        <w:t>Sprzedający nie posiada świadectwa charakterystyki energetycznej w/w budynku.</w:t>
      </w:r>
    </w:p>
    <w:p w:rsidR="00A71185" w:rsidRDefault="00A71185" w:rsidP="00A71185">
      <w:pPr>
        <w:rPr>
          <w:rFonts w:ascii="Arial" w:hAnsi="Arial" w:cs="Arial"/>
          <w:b/>
          <w:sz w:val="22"/>
          <w:szCs w:val="22"/>
        </w:rPr>
      </w:pPr>
    </w:p>
    <w:p w:rsidR="00A71185" w:rsidRDefault="00A71185" w:rsidP="00A71185">
      <w:pPr>
        <w:rPr>
          <w:rFonts w:ascii="Arial" w:hAnsi="Arial" w:cs="Arial"/>
          <w:b/>
          <w:sz w:val="22"/>
          <w:szCs w:val="22"/>
        </w:rPr>
      </w:pPr>
    </w:p>
    <w:p w:rsidR="00A71185" w:rsidRDefault="00A71185" w:rsidP="00A7118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Do wylicytowanych cen może być naliczony podatek VAT zgodnie z obowiązującymi przepisami w dniu sprzedaży.</w:t>
      </w:r>
    </w:p>
    <w:p w:rsidR="00A71185" w:rsidRDefault="00A71185" w:rsidP="00A71185">
      <w:pPr>
        <w:jc w:val="center"/>
        <w:rPr>
          <w:rFonts w:ascii="Arial" w:hAnsi="Arial" w:cs="Arial"/>
          <w:b/>
          <w:sz w:val="22"/>
          <w:szCs w:val="22"/>
        </w:rPr>
      </w:pPr>
    </w:p>
    <w:p w:rsidR="00A71185" w:rsidRDefault="00A71185" w:rsidP="00A71185">
      <w:pPr>
        <w:tabs>
          <w:tab w:val="left" w:pos="0"/>
        </w:tabs>
        <w:jc w:val="both"/>
      </w:pPr>
    </w:p>
    <w:p w:rsidR="00A71185" w:rsidRDefault="00A71185" w:rsidP="00A71185">
      <w:pPr>
        <w:tabs>
          <w:tab w:val="left" w:pos="180"/>
          <w:tab w:val="left" w:pos="720"/>
        </w:tabs>
        <w:jc w:val="both"/>
      </w:pPr>
      <w:r>
        <w:rPr>
          <w:rFonts w:ascii="Arial" w:hAnsi="Arial" w:cs="Arial"/>
          <w:b/>
          <w:sz w:val="22"/>
          <w:szCs w:val="22"/>
        </w:rPr>
        <w:t>Przetarg odbędzie się w dniu 1 lutego 2018 r. o godz. 10</w:t>
      </w:r>
      <w:r>
        <w:rPr>
          <w:rFonts w:ascii="Arial" w:hAnsi="Arial" w:cs="Arial"/>
          <w:b/>
          <w:sz w:val="22"/>
          <w:szCs w:val="22"/>
          <w:vertAlign w:val="superscript"/>
        </w:rPr>
        <w:t>00</w:t>
      </w:r>
      <w:r>
        <w:rPr>
          <w:rFonts w:ascii="Arial" w:hAnsi="Arial" w:cs="Arial"/>
          <w:b/>
          <w:sz w:val="22"/>
          <w:szCs w:val="22"/>
        </w:rPr>
        <w:t xml:space="preserve"> w Urzędzie Marszałkowskim Województwa Lubelskiego w Lublinie, przy ul. Artura Grottgera 4  </w:t>
      </w:r>
      <w:r>
        <w:rPr>
          <w:rFonts w:ascii="Arial" w:hAnsi="Arial" w:cs="Arial"/>
          <w:b/>
          <w:sz w:val="22"/>
          <w:szCs w:val="22"/>
        </w:rPr>
        <w:br/>
        <w:t>w sali nr 569.</w:t>
      </w:r>
    </w:p>
    <w:p w:rsidR="00A71185" w:rsidRDefault="00A71185" w:rsidP="00A71185">
      <w:pPr>
        <w:tabs>
          <w:tab w:val="left" w:pos="0"/>
        </w:tabs>
        <w:jc w:val="both"/>
      </w:pPr>
    </w:p>
    <w:p w:rsidR="00A71185" w:rsidRDefault="00A71185" w:rsidP="00A71185">
      <w:pPr>
        <w:tabs>
          <w:tab w:val="left" w:pos="0"/>
        </w:tabs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Warunkiem przystąpienia do przetargu jest: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1185" w:rsidRDefault="00A71185" w:rsidP="00A71185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71185" w:rsidRDefault="00A71185" w:rsidP="00A71185">
      <w:pPr>
        <w:tabs>
          <w:tab w:val="left" w:pos="720"/>
        </w:tabs>
        <w:ind w:left="720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Wniesienie wadium</w:t>
      </w:r>
      <w:r>
        <w:rPr>
          <w:rFonts w:ascii="Arial" w:hAnsi="Arial" w:cs="Arial"/>
          <w:sz w:val="22"/>
          <w:szCs w:val="22"/>
        </w:rPr>
        <w:t xml:space="preserve"> w pieniądzu PLN na rachunek Urzędu Marszałkowskiego Województwa Lubelskiego Lublinie nr </w:t>
      </w:r>
      <w:r>
        <w:rPr>
          <w:rFonts w:ascii="Arial" w:hAnsi="Arial" w:cs="Arial"/>
          <w:b/>
          <w:sz w:val="22"/>
          <w:szCs w:val="22"/>
        </w:rPr>
        <w:t>96 1020 3150 0000 3102 0047 7489 PKO BP S.A. O/Lublin</w:t>
      </w:r>
      <w:r>
        <w:rPr>
          <w:rFonts w:ascii="Arial" w:hAnsi="Arial" w:cs="Arial"/>
          <w:sz w:val="22"/>
          <w:szCs w:val="22"/>
        </w:rPr>
        <w:t xml:space="preserve">, w nieprzekraczalnym terminie </w:t>
      </w:r>
      <w:r>
        <w:rPr>
          <w:rFonts w:ascii="Arial" w:hAnsi="Arial" w:cs="Arial"/>
          <w:b/>
          <w:sz w:val="22"/>
          <w:szCs w:val="22"/>
        </w:rPr>
        <w:t>do dnia 29 stycznia 2018 r.  (decyduje data wpływu na konto urzędu).</w:t>
      </w:r>
      <w:r>
        <w:t xml:space="preserve"> </w:t>
      </w:r>
      <w:r>
        <w:rPr>
          <w:rFonts w:ascii="Arial" w:hAnsi="Arial" w:cs="Arial"/>
          <w:sz w:val="22"/>
          <w:szCs w:val="22"/>
        </w:rPr>
        <w:t>W tytule przelewu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konieczne jest określenie nieruchomości, na sprzedaż której wadium jest wpłacone oraz określenie podmiotu, który przystąpi do przetargu i na rzecz którego nastąpi zbycie nieruchomości, w przypadku wygrania przetargu.</w:t>
      </w:r>
    </w:p>
    <w:p w:rsidR="00A71185" w:rsidRDefault="00A71185" w:rsidP="00A71185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A71185" w:rsidRDefault="00A71185" w:rsidP="00A71185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71185" w:rsidRDefault="00A71185" w:rsidP="00A71185">
      <w:pPr>
        <w:tabs>
          <w:tab w:val="left" w:pos="720"/>
        </w:tabs>
        <w:ind w:left="720" w:hanging="720"/>
        <w:jc w:val="both"/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Przedłożenie</w:t>
      </w:r>
      <w:r>
        <w:rPr>
          <w:rFonts w:ascii="Arial" w:hAnsi="Arial" w:cs="Arial"/>
          <w:sz w:val="22"/>
          <w:szCs w:val="22"/>
        </w:rPr>
        <w:t xml:space="preserve"> w dniu przetargu w sali 569 w Urzędzie Marszałkowskim Województwa Lubelskiego w Lublinie, przy ul.  Artura Grottgera 4:</w:t>
      </w:r>
    </w:p>
    <w:p w:rsidR="00A71185" w:rsidRDefault="00A71185" w:rsidP="00A71185">
      <w:pPr>
        <w:numPr>
          <w:ilvl w:val="0"/>
          <w:numId w:val="2"/>
        </w:num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>dokumentu potwierdzającego tożsamość osoby przystępującej do przetargu,</w:t>
      </w:r>
    </w:p>
    <w:p w:rsidR="00A71185" w:rsidRDefault="00A71185" w:rsidP="00A71185">
      <w:pPr>
        <w:numPr>
          <w:ilvl w:val="0"/>
          <w:numId w:val="3"/>
        </w:num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 xml:space="preserve">pisemnej zgody współmałżonka na nabycie nieruchomości w przypadku, gdy </w:t>
      </w:r>
      <w:r>
        <w:rPr>
          <w:rFonts w:ascii="Arial" w:hAnsi="Arial" w:cs="Arial"/>
          <w:sz w:val="22"/>
          <w:szCs w:val="22"/>
        </w:rPr>
        <w:br/>
        <w:t>ma ona zostać nabyta do małżeńskiego majątku wspólnego, a do przetargu przystępuje tylko jeden ze współmałżonków,</w:t>
      </w:r>
    </w:p>
    <w:p w:rsidR="00A71185" w:rsidRDefault="00A71185" w:rsidP="00A71185">
      <w:pPr>
        <w:numPr>
          <w:ilvl w:val="0"/>
          <w:numId w:val="4"/>
        </w:num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lastRenderedPageBreak/>
        <w:t>aktualnego dokumentu (np. KRS), z którego wynika upoważnienie przedstawiciela osoby prawnej do jej reprezentowania w przetargu (</w:t>
      </w:r>
      <w:r>
        <w:rPr>
          <w:rFonts w:ascii="Arial" w:hAnsi="Arial" w:cs="Arial"/>
          <w:i/>
          <w:sz w:val="22"/>
          <w:szCs w:val="22"/>
        </w:rPr>
        <w:t>dotyczy:</w:t>
      </w:r>
      <w:r>
        <w:rPr>
          <w:rFonts w:ascii="Arial" w:hAnsi="Arial" w:cs="Arial"/>
          <w:sz w:val="22"/>
          <w:szCs w:val="22"/>
        </w:rPr>
        <w:t xml:space="preserve"> przystąpienia do przetargu osoby prawnej), </w:t>
      </w:r>
    </w:p>
    <w:p w:rsidR="00A71185" w:rsidRDefault="00A71185" w:rsidP="00A71185">
      <w:pPr>
        <w:numPr>
          <w:ilvl w:val="0"/>
          <w:numId w:val="5"/>
        </w:num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>umowy między osobami (współwłaścicielami), określającej wysokość udziału każdej z tych osób we wpłaconym wadium oraz w prawie własności nieruchomości w razie jej nabycia (</w:t>
      </w:r>
      <w:r>
        <w:rPr>
          <w:rFonts w:ascii="Arial" w:hAnsi="Arial" w:cs="Arial"/>
          <w:i/>
          <w:sz w:val="22"/>
          <w:szCs w:val="22"/>
        </w:rPr>
        <w:t>dotyczy:</w:t>
      </w:r>
      <w:r>
        <w:rPr>
          <w:rFonts w:ascii="Arial" w:hAnsi="Arial" w:cs="Arial"/>
          <w:sz w:val="22"/>
          <w:szCs w:val="22"/>
        </w:rPr>
        <w:t xml:space="preserve"> przystąpienia do przetargu więcej niż jednej osoby jako pojedynczego oferenta).</w:t>
      </w:r>
    </w:p>
    <w:p w:rsidR="00A71185" w:rsidRDefault="00A71185" w:rsidP="00A7118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71185" w:rsidRDefault="00A71185" w:rsidP="00A71185">
      <w:pPr>
        <w:tabs>
          <w:tab w:val="left" w:pos="0"/>
        </w:tabs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Wadium</w:t>
      </w:r>
      <w:r>
        <w:rPr>
          <w:rFonts w:ascii="Arial" w:hAnsi="Arial" w:cs="Arial"/>
          <w:sz w:val="22"/>
          <w:szCs w:val="22"/>
        </w:rPr>
        <w:t xml:space="preserve"> wpłacone przez uczestnika przetargu, który został ustalony nabywcą nieruchomości zalicza  się na poczet ceny nabycia nieruchomości. Pozostałym uczestnikom przetargu wadium zostanie zwrócone niezwłocznie po zamknięciu przetargu. Wadium ulega przepadkowi w razie uchylenia się uczestnika, który został ustalony nabywcą nieruchomości, od zawarcia umowy notarialnej. Koszty zawarcia umowy notarialnej, opłat sądowych oraz podatków ponosi nabywca nieruchomości.</w:t>
      </w:r>
    </w:p>
    <w:p w:rsidR="00A71185" w:rsidRDefault="00A71185" w:rsidP="00A71185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A71185" w:rsidRDefault="00A71185" w:rsidP="00A71185">
      <w:pPr>
        <w:tabs>
          <w:tab w:val="left" w:pos="0"/>
        </w:tabs>
        <w:jc w:val="center"/>
      </w:pPr>
      <w:r>
        <w:rPr>
          <w:rFonts w:ascii="Arial" w:hAnsi="Arial" w:cs="Arial"/>
          <w:b/>
          <w:sz w:val="22"/>
          <w:szCs w:val="22"/>
        </w:rPr>
        <w:t>Organizator zastrzega sobie możliwość odwołania przetargu z ważnych przyczyn.</w:t>
      </w:r>
    </w:p>
    <w:p w:rsidR="00A71185" w:rsidRDefault="00A71185" w:rsidP="00A71185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A71185" w:rsidRDefault="00A71185" w:rsidP="00A71185">
      <w:pPr>
        <w:tabs>
          <w:tab w:val="left" w:pos="0"/>
        </w:tabs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Dodatkowe informacje</w:t>
      </w:r>
      <w:r>
        <w:rPr>
          <w:rFonts w:ascii="Arial" w:hAnsi="Arial" w:cs="Arial"/>
          <w:sz w:val="22"/>
          <w:szCs w:val="22"/>
        </w:rPr>
        <w:t xml:space="preserve"> dotyczące nieruchomości oraz warunków przetargu można uzyskać w Urzędzie Marszałkowskim Województwa Lubelskiego w Lublinie, w Departamencie Mienia i Inwestycji, pok. 580 tel. </w:t>
      </w:r>
      <w:r>
        <w:rPr>
          <w:rFonts w:ascii="Arial" w:hAnsi="Arial"/>
          <w:sz w:val="22"/>
          <w:szCs w:val="22"/>
        </w:rPr>
        <w:t>081 441 67 78</w:t>
      </w:r>
      <w:r>
        <w:rPr>
          <w:rFonts w:ascii="Arial" w:hAnsi="Arial" w:cs="Arial"/>
          <w:sz w:val="22"/>
          <w:szCs w:val="22"/>
        </w:rPr>
        <w:t xml:space="preserve"> oraz na stronie internetowej www.lubelskie.pl.</w:t>
      </w:r>
    </w:p>
    <w:p w:rsidR="00A71185" w:rsidRDefault="00A71185" w:rsidP="00A71185"/>
    <w:p w:rsidR="00197E69" w:rsidRDefault="00197E69">
      <w:bookmarkStart w:id="0" w:name="_GoBack"/>
      <w:bookmarkEnd w:id="0"/>
    </w:p>
    <w:sectPr w:rsidR="0019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049"/>
    <w:multiLevelType w:val="multilevel"/>
    <w:tmpl w:val="58F07A12"/>
    <w:lvl w:ilvl="0">
      <w:start w:val="1"/>
      <w:numFmt w:val="bullet"/>
      <w:lvlText w:val=""/>
      <w:lvlJc w:val="left"/>
      <w:pPr>
        <w:tabs>
          <w:tab w:val="num" w:pos="987"/>
        </w:tabs>
        <w:ind w:left="987" w:hanging="567"/>
      </w:pPr>
      <w:rPr>
        <w:rFonts w:ascii="Symbol" w:hAnsi="Symbol" w:cs="Symbol" w:hint="default"/>
        <w:b/>
        <w:color w:val="00000A"/>
        <w:spacing w:val="20"/>
        <w:sz w:val="22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Arial" w:hAnsi="Arial"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Arial" w:hAnsi="Arial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Arial" w:hAnsi="Arial" w:cs="Times New Roman"/>
        <w:b/>
        <w:sz w:val="22"/>
      </w:rPr>
    </w:lvl>
  </w:abstractNum>
  <w:abstractNum w:abstractNumId="1">
    <w:nsid w:val="10536D2D"/>
    <w:multiLevelType w:val="multilevel"/>
    <w:tmpl w:val="401CE4B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b/>
        <w:sz w:val="22"/>
      </w:rPr>
    </w:lvl>
  </w:abstractNum>
  <w:abstractNum w:abstractNumId="2">
    <w:nsid w:val="3A0354F5"/>
    <w:multiLevelType w:val="multilevel"/>
    <w:tmpl w:val="F3243534"/>
    <w:lvl w:ilvl="0">
      <w:start w:val="1"/>
      <w:numFmt w:val="bullet"/>
      <w:lvlText w:val=""/>
      <w:lvlJc w:val="left"/>
      <w:pPr>
        <w:tabs>
          <w:tab w:val="num" w:pos="987"/>
        </w:tabs>
        <w:ind w:left="987" w:hanging="567"/>
      </w:pPr>
      <w:rPr>
        <w:rFonts w:ascii="Symbol" w:hAnsi="Symbol" w:cs="Symbol" w:hint="default"/>
        <w:b/>
        <w:color w:val="00000A"/>
        <w:spacing w:val="20"/>
        <w:sz w:val="22"/>
      </w:rPr>
    </w:lvl>
    <w:lvl w:ilvl="1">
      <w:start w:val="1"/>
      <w:numFmt w:val="upperRoman"/>
      <w:lvlText w:val="%2."/>
      <w:lvlJc w:val="left"/>
      <w:pPr>
        <w:tabs>
          <w:tab w:val="num" w:pos="2067"/>
        </w:tabs>
        <w:ind w:left="2067" w:hanging="567"/>
      </w:pPr>
      <w:rPr>
        <w:rFonts w:cs="Times New Roman"/>
        <w:b/>
        <w:i w:val="0"/>
        <w:color w:val="00000A"/>
        <w:spacing w:val="20"/>
        <w:sz w:val="22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Arial" w:hAnsi="Arial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Arial" w:hAnsi="Arial" w:cs="Times New Roman"/>
        <w:b/>
        <w:sz w:val="22"/>
      </w:rPr>
    </w:lvl>
  </w:abstractNum>
  <w:abstractNum w:abstractNumId="3">
    <w:nsid w:val="5B39520A"/>
    <w:multiLevelType w:val="multilevel"/>
    <w:tmpl w:val="17C06CFE"/>
    <w:lvl w:ilvl="0">
      <w:start w:val="1"/>
      <w:numFmt w:val="bullet"/>
      <w:lvlText w:val=""/>
      <w:lvlJc w:val="left"/>
      <w:pPr>
        <w:tabs>
          <w:tab w:val="num" w:pos="987"/>
        </w:tabs>
        <w:ind w:left="987" w:hanging="567"/>
      </w:pPr>
      <w:rPr>
        <w:rFonts w:ascii="Symbol" w:hAnsi="Symbol" w:cs="Symbol" w:hint="default"/>
        <w:b/>
        <w:color w:val="00000A"/>
        <w:spacing w:val="20"/>
        <w:sz w:val="22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Arial" w:hAnsi="Arial"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Arial" w:hAnsi="Arial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Arial" w:hAnsi="Arial" w:cs="Times New Roman"/>
        <w:b/>
        <w:sz w:val="22"/>
      </w:rPr>
    </w:lvl>
  </w:abstractNum>
  <w:abstractNum w:abstractNumId="4">
    <w:nsid w:val="74274161"/>
    <w:multiLevelType w:val="multilevel"/>
    <w:tmpl w:val="AB3EEEB4"/>
    <w:lvl w:ilvl="0">
      <w:start w:val="1"/>
      <w:numFmt w:val="bullet"/>
      <w:lvlText w:val=""/>
      <w:lvlJc w:val="left"/>
      <w:pPr>
        <w:tabs>
          <w:tab w:val="num" w:pos="987"/>
        </w:tabs>
        <w:ind w:left="987" w:hanging="567"/>
      </w:pPr>
      <w:rPr>
        <w:rFonts w:ascii="Symbol" w:hAnsi="Symbol" w:cs="Symbol" w:hint="default"/>
        <w:b/>
        <w:color w:val="00000A"/>
        <w:spacing w:val="20"/>
        <w:sz w:val="22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Arial" w:hAnsi="Arial"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Arial" w:hAnsi="Arial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Arial" w:hAnsi="Arial" w:cs="Times New Roman"/>
        <w:b/>
        <w:sz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85"/>
    <w:rsid w:val="00197E69"/>
    <w:rsid w:val="00A7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18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18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Mądry</dc:creator>
  <cp:lastModifiedBy>Karol Mądry</cp:lastModifiedBy>
  <cp:revision>1</cp:revision>
  <dcterms:created xsi:type="dcterms:W3CDTF">2017-12-20T07:40:00Z</dcterms:created>
  <dcterms:modified xsi:type="dcterms:W3CDTF">2017-12-20T07:41:00Z</dcterms:modified>
</cp:coreProperties>
</file>