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jc w:val="right"/>
        <w:rPr>
          <w:rFonts w:ascii="Arial" w:hAnsi="Arial" w:cs="Arial"/>
          <w:sz w:val="22"/>
          <w:szCs w:val="22"/>
        </w:rPr>
      </w:pPr>
      <w:r>
        <w:rPr>
          <w:rFonts w:cs="Arial" w:ascii="Arial" w:hAnsi="Arial"/>
          <w:sz w:val="22"/>
          <w:szCs w:val="22"/>
        </w:rPr>
      </w:r>
    </w:p>
    <w:p>
      <w:pPr>
        <w:pStyle w:val="Normal"/>
        <w:jc w:val="right"/>
        <w:rPr>
          <w:rFonts w:ascii="Arial" w:hAnsi="Arial"/>
          <w:sz w:val="20"/>
          <w:szCs w:val="20"/>
        </w:rPr>
      </w:pPr>
      <w:r>
        <w:rPr>
          <w:rFonts w:cs="Arial" w:ascii="Arial" w:hAnsi="Arial"/>
          <w:b/>
          <w:sz w:val="28"/>
          <w:szCs w:val="28"/>
        </w:rPr>
      </w:r>
    </w:p>
    <w:p>
      <w:pPr>
        <w:pStyle w:val="Normal"/>
        <w:jc w:val="center"/>
        <w:rPr/>
      </w:pPr>
      <w:r>
        <w:rPr>
          <w:rFonts w:cs="Arial" w:ascii="Arial" w:hAnsi="Arial"/>
          <w:b/>
          <w:sz w:val="28"/>
          <w:szCs w:val="28"/>
        </w:rPr>
        <w:t>WYKAZ NIERUCHOMOŚCI PRZEZNACZONEJ DO SPRZEDAŻY W TRYBIE BEZPRZETARGOWYM PO OBNIŻONEJ CENIE NA RZECZ SKARBU PAŃSTWA W MIEJSCOWOŚCI WILCZYN</w:t>
      </w:r>
    </w:p>
    <w:p>
      <w:pPr>
        <w:pStyle w:val="Normal"/>
        <w:jc w:val="both"/>
        <w:rPr>
          <w:rFonts w:ascii="Arial" w:hAnsi="Arial" w:cs="Arial"/>
          <w:b/>
          <w:b/>
          <w:sz w:val="28"/>
          <w:szCs w:val="28"/>
        </w:rPr>
      </w:pPr>
      <w:r>
        <w:rPr>
          <w:rFonts w:cs="Arial" w:ascii="Arial" w:hAnsi="Arial"/>
          <w:b/>
          <w:sz w:val="28"/>
          <w:szCs w:val="28"/>
        </w:rPr>
      </w:r>
    </w:p>
    <w:p>
      <w:pPr>
        <w:pStyle w:val="Tekstpodstawowy31"/>
        <w:spacing w:lineRule="auto" w:line="360" w:before="0" w:after="0"/>
        <w:jc w:val="both"/>
        <w:rPr/>
      </w:pPr>
      <w:r>
        <w:rPr>
          <w:rFonts w:cs="Arial" w:ascii="Arial" w:hAnsi="Arial"/>
          <w:b/>
          <w:sz w:val="22"/>
          <w:szCs w:val="22"/>
        </w:rPr>
        <w:t xml:space="preserve">Nieruchomość – działki oznaczone nr: 110/1 o pow. 1,5541 ha, 124/2 o pow. 0,1735 ha, 124/3 o pow. 1,1382 ha, stanowiące własność Województwa Lubelskiego, położone w miejscowości Wilczyn, </w:t>
      </w:r>
      <w:r>
        <w:rPr>
          <w:rFonts w:cs="Arial" w:ascii="Arial" w:hAnsi="Arial"/>
          <w:b/>
          <w:bCs/>
          <w:sz w:val="22"/>
          <w:szCs w:val="22"/>
        </w:rPr>
        <w:t>gm.</w:t>
      </w:r>
      <w:r>
        <w:rPr>
          <w:rFonts w:cs="Arial" w:ascii="Arial" w:hAnsi="Arial"/>
          <w:b/>
          <w:sz w:val="22"/>
          <w:szCs w:val="22"/>
        </w:rPr>
        <w:t xml:space="preserve"> Biała Podlaska, dla których Sąd Rejonowy w Białej Podlaskiej prowadzi KW LU1B/00095303/7.</w:t>
      </w:r>
    </w:p>
    <w:p>
      <w:pPr>
        <w:pStyle w:val="Normal"/>
        <w:spacing w:lineRule="auto" w:line="360"/>
        <w:jc w:val="both"/>
        <w:rPr/>
      </w:pPr>
      <w:r>
        <w:rPr>
          <w:rFonts w:cs="Arial" w:ascii="Arial" w:hAnsi="Arial"/>
          <w:b/>
          <w:sz w:val="22"/>
          <w:szCs w:val="22"/>
        </w:rPr>
        <w:t>Zgodnie z miejscowym planem zagospodarowania przestrzennego działki nr 124/2 i nr 124/3 znajdują się na terenie podlegającym ochronie konserwatorskiej. Część działki nr 110/1 leży na terenie upraw łąkowych bez prawa realizacji obiektów kubaturowych,</w:t>
        <w:br/>
        <w:t xml:space="preserve">a cześć znajduje się w strefie ochrony ekspozycji. </w:t>
      </w:r>
    </w:p>
    <w:p>
      <w:pPr>
        <w:pStyle w:val="Normal"/>
        <w:spacing w:lineRule="auto" w:line="360"/>
        <w:rPr>
          <w:rFonts w:ascii="Arial" w:hAnsi="Arial" w:cs="Arial"/>
          <w:b/>
          <w:b/>
          <w:sz w:val="22"/>
          <w:szCs w:val="22"/>
        </w:rPr>
      </w:pPr>
      <w:r>
        <w:rPr>
          <w:rFonts w:cs="Arial" w:ascii="Arial" w:hAnsi="Arial"/>
          <w:b/>
          <w:sz w:val="22"/>
          <w:szCs w:val="22"/>
        </w:rPr>
      </w:r>
    </w:p>
    <w:tbl>
      <w:tblPr>
        <w:tblW w:w="14030" w:type="dxa"/>
        <w:jc w:val="left"/>
        <w:tblInd w:w="17" w:type="dxa"/>
        <w:tblBorders>
          <w:top w:val="single" w:sz="4" w:space="0" w:color="00000A"/>
          <w:left w:val="single" w:sz="4" w:space="0" w:color="00000A"/>
          <w:bottom w:val="single" w:sz="4" w:space="0" w:color="00000A"/>
          <w:insideH w:val="single" w:sz="4" w:space="0" w:color="00000A"/>
        </w:tblBorders>
        <w:tblCellMar>
          <w:top w:w="0" w:type="dxa"/>
          <w:left w:w="13" w:type="dxa"/>
          <w:bottom w:w="0" w:type="dxa"/>
          <w:right w:w="108" w:type="dxa"/>
        </w:tblCellMar>
        <w:tblLook w:firstRow="1" w:noVBand="1" w:lastRow="0" w:firstColumn="1" w:lastColumn="0" w:noHBand="0" w:val="04a0"/>
      </w:tblPr>
      <w:tblGrid>
        <w:gridCol w:w="624"/>
        <w:gridCol w:w="1829"/>
        <w:gridCol w:w="1676"/>
        <w:gridCol w:w="4512"/>
        <w:gridCol w:w="1700"/>
        <w:gridCol w:w="3688"/>
      </w:tblGrid>
      <w:tr>
        <w:trPr/>
        <w:tc>
          <w:tcPr>
            <w:tcW w:w="624"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Lp.</w:t>
            </w:r>
          </w:p>
        </w:tc>
        <w:tc>
          <w:tcPr>
            <w:tcW w:w="182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Oznaczenie nieruchomości     w ewidencji gruntów</w:t>
            </w:r>
          </w:p>
        </w:tc>
        <w:tc>
          <w:tcPr>
            <w:tcW w:w="167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Powierzchnia działki w ha</w:t>
            </w:r>
          </w:p>
        </w:tc>
        <w:tc>
          <w:tcPr>
            <w:tcW w:w="4512"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snapToGrid w:val="false"/>
              <w:rPr>
                <w:rFonts w:ascii="Arial" w:hAnsi="Arial" w:cs="Arial"/>
                <w:b/>
                <w:b/>
              </w:rPr>
            </w:pPr>
            <w:r>
              <w:rPr>
                <w:rFonts w:cs="Arial" w:ascii="Arial" w:hAnsi="Arial"/>
                <w:b/>
              </w:rPr>
            </w:r>
          </w:p>
          <w:p>
            <w:pPr>
              <w:pStyle w:val="Normal"/>
              <w:jc w:val="center"/>
              <w:rPr/>
            </w:pPr>
            <w:r>
              <w:rPr>
                <w:rFonts w:cs="Arial" w:ascii="Arial" w:hAnsi="Arial"/>
                <w:b/>
                <w:sz w:val="22"/>
                <w:szCs w:val="22"/>
              </w:rPr>
              <w:t>Opis nieruchomości</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Fonts w:cs="Arial" w:ascii="Arial" w:hAnsi="Arial"/>
                <w:b/>
                <w:sz w:val="22"/>
                <w:szCs w:val="22"/>
              </w:rPr>
              <w:t>Cena  nieruchomości</w:t>
            </w:r>
          </w:p>
        </w:tc>
        <w:tc>
          <w:tcPr>
            <w:tcW w:w="3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Uwagi</w:t>
            </w:r>
          </w:p>
        </w:tc>
      </w:tr>
      <w:tr>
        <w:trPr>
          <w:trHeight w:val="553" w:hRule="atLeast"/>
        </w:trPr>
        <w:tc>
          <w:tcPr>
            <w:tcW w:w="624"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w:t>
            </w:r>
          </w:p>
        </w:tc>
        <w:tc>
          <w:tcPr>
            <w:tcW w:w="182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110/1</w:t>
            </w:r>
          </w:p>
        </w:tc>
        <w:tc>
          <w:tcPr>
            <w:tcW w:w="167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1,5541</w:t>
            </w:r>
          </w:p>
        </w:tc>
        <w:tc>
          <w:tcPr>
            <w:tcW w:w="4512" w:type="dxa"/>
            <w:tcBorders>
              <w:top w:val="single" w:sz="4" w:space="0" w:color="00000A"/>
              <w:left w:val="single" w:sz="6" w:space="0" w:color="00000A"/>
              <w:bottom w:val="single" w:sz="4" w:space="0" w:color="00000A"/>
              <w:insideH w:val="single" w:sz="4" w:space="0" w:color="00000A"/>
            </w:tcBorders>
            <w:shd w:color="auto" w:fill="auto" w:val="clear"/>
            <w:tcMar>
              <w:left w:w="-7" w:type="dxa"/>
            </w:tcMar>
          </w:tcPr>
          <w:p>
            <w:pPr>
              <w:pStyle w:val="Normal"/>
              <w:jc w:val="both"/>
              <w:rPr/>
            </w:pPr>
            <w:r>
              <w:rPr>
                <w:rFonts w:cs="Arial" w:ascii="Arial" w:hAnsi="Arial"/>
                <w:sz w:val="22"/>
                <w:szCs w:val="22"/>
              </w:rPr>
              <w:t>Działka płaska częściowo ogrodzona. Na nieruchomości posadowiony jest garaż typu blaszak, garaż murowany oraz urządzenia po byłej oczyszczalni ścieków.</w:t>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Standard"/>
              <w:spacing w:lineRule="auto" w:line="312"/>
              <w:jc w:val="center"/>
              <w:rPr/>
            </w:pPr>
            <w:r>
              <w:rPr>
                <w:rFonts w:ascii="Arial" w:hAnsi="Arial"/>
                <w:sz w:val="22"/>
                <w:szCs w:val="22"/>
              </w:rPr>
              <w:t>10 455,00 zł</w:t>
            </w:r>
          </w:p>
        </w:tc>
        <w:tc>
          <w:tcPr>
            <w:tcW w:w="3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both"/>
              <w:rPr>
                <w:rFonts w:ascii="Arial" w:hAnsi="Arial" w:cs="Arial"/>
                <w:sz w:val="22"/>
                <w:szCs w:val="22"/>
              </w:rPr>
            </w:pPr>
            <w:r>
              <w:rPr>
                <w:rFonts w:cs="Arial" w:ascii="Arial" w:hAnsi="Arial"/>
                <w:sz w:val="22"/>
                <w:szCs w:val="22"/>
              </w:rPr>
              <w:t xml:space="preserve">Nieruchomość jest sprzedawana </w:t>
              <w:br/>
              <w:t xml:space="preserve">w trybie bezprzetargowym po obniżonej cenie Skarbowi Państwa na działalność statutową Lubelskiego Ośrodka Doradztwa Rolniczego, zgodnie z art. 14 </w:t>
              <w:br/>
              <w:t>ust. 1 ustawy o gospodarce nieruchomościami</w:t>
            </w:r>
          </w:p>
        </w:tc>
      </w:tr>
      <w:tr>
        <w:trPr>
          <w:trHeight w:val="553" w:hRule="atLeast"/>
        </w:trPr>
        <w:tc>
          <w:tcPr>
            <w:tcW w:w="624"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2.</w:t>
            </w:r>
          </w:p>
        </w:tc>
        <w:tc>
          <w:tcPr>
            <w:tcW w:w="182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124/2</w:t>
            </w:r>
          </w:p>
          <w:p>
            <w:pPr>
              <w:pStyle w:val="Normal"/>
              <w:jc w:val="center"/>
              <w:rPr>
                <w:rFonts w:ascii="Arial" w:hAnsi="Arial"/>
                <w:sz w:val="22"/>
                <w:szCs w:val="22"/>
              </w:rPr>
            </w:pPr>
            <w:r>
              <w:rPr>
                <w:rFonts w:ascii="Arial" w:hAnsi="Arial"/>
                <w:sz w:val="22"/>
                <w:szCs w:val="22"/>
              </w:rPr>
              <w:t>124/3</w:t>
            </w:r>
          </w:p>
        </w:tc>
        <w:tc>
          <w:tcPr>
            <w:tcW w:w="167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0,1735</w:t>
            </w:r>
          </w:p>
          <w:p>
            <w:pPr>
              <w:pStyle w:val="Normal"/>
              <w:jc w:val="center"/>
              <w:rPr>
                <w:rFonts w:ascii="Arial" w:hAnsi="Arial"/>
                <w:sz w:val="22"/>
                <w:szCs w:val="22"/>
              </w:rPr>
            </w:pPr>
            <w:r>
              <w:rPr>
                <w:rFonts w:ascii="Arial" w:hAnsi="Arial"/>
                <w:sz w:val="22"/>
                <w:szCs w:val="22"/>
              </w:rPr>
              <w:t>1,1382</w:t>
            </w:r>
          </w:p>
        </w:tc>
        <w:tc>
          <w:tcPr>
            <w:tcW w:w="4512" w:type="dxa"/>
            <w:tcBorders>
              <w:top w:val="single" w:sz="4" w:space="0" w:color="00000A"/>
              <w:left w:val="single" w:sz="6" w:space="0" w:color="00000A"/>
              <w:bottom w:val="single" w:sz="4" w:space="0" w:color="00000A"/>
              <w:insideH w:val="single" w:sz="4" w:space="0" w:color="00000A"/>
            </w:tcBorders>
            <w:shd w:color="auto" w:fill="auto" w:val="clear"/>
            <w:tcMar>
              <w:left w:w="-7" w:type="dxa"/>
            </w:tcMar>
          </w:tcPr>
          <w:p>
            <w:pPr>
              <w:pStyle w:val="Normal"/>
              <w:jc w:val="both"/>
              <w:rPr>
                <w:rFonts w:ascii="Arial" w:hAnsi="Arial"/>
                <w:sz w:val="22"/>
                <w:szCs w:val="22"/>
              </w:rPr>
            </w:pPr>
            <w:r>
              <w:rPr>
                <w:rFonts w:ascii="Arial" w:hAnsi="Arial"/>
                <w:sz w:val="22"/>
                <w:szCs w:val="22"/>
              </w:rPr>
              <w:t>Działki położone są na terenie Zespołu Dworsko Parkowego. Nieruchomość nr 124/2 zabudowana jest dwukondygnacyjnym budynkiem Centrum Edukacji Ekologicznej o pow. użytkowej 1144,70 m</w:t>
            </w:r>
            <w:r>
              <w:rPr>
                <w:rFonts w:ascii="Arial" w:hAnsi="Arial"/>
                <w:sz w:val="22"/>
                <w:szCs w:val="22"/>
                <w:vertAlign w:val="superscript"/>
              </w:rPr>
              <w:t>2</w:t>
            </w:r>
            <w:r>
              <w:rPr>
                <w:rFonts w:ascii="Arial" w:hAnsi="Arial"/>
                <w:sz w:val="22"/>
                <w:szCs w:val="22"/>
              </w:rPr>
              <w:t>. Działka nr 124/3 zabudowana jest dwukondygnacyjnym budynkiem dydaktycznym z częścią mieszkalna o pow. użytkowej 944,60 m</w:t>
            </w:r>
            <w:r>
              <w:rPr>
                <w:rFonts w:ascii="Arial" w:hAnsi="Arial"/>
                <w:sz w:val="22"/>
                <w:szCs w:val="22"/>
                <w:vertAlign w:val="superscript"/>
              </w:rPr>
              <w:t>2</w:t>
            </w:r>
            <w:r>
              <w:rPr>
                <w:rFonts w:ascii="Arial" w:hAnsi="Arial"/>
                <w:sz w:val="22"/>
                <w:szCs w:val="22"/>
              </w:rPr>
              <w:t xml:space="preserve">. Teren wokół budynków jest zagospodarowany. Znajdują się na nim podjazdy do budynków, ciągi piesze oraz miejsca parkingowe utwardzone kostką brukową.  </w:t>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r>
    </w:tbl>
    <w:p>
      <w:pPr>
        <w:pStyle w:val="Normal"/>
        <w:spacing w:lineRule="auto" w:line="360"/>
        <w:ind w:firstLine="708"/>
        <w:jc w:val="both"/>
        <w:rPr>
          <w:rFonts w:ascii="Arial" w:hAnsi="Arial" w:cs="Arial"/>
          <w:b/>
          <w:b/>
          <w:sz w:val="22"/>
          <w:szCs w:val="22"/>
        </w:rPr>
      </w:pPr>
      <w:r>
        <w:rPr>
          <w:rFonts w:cs="Arial" w:ascii="Arial" w:hAnsi="Arial"/>
          <w:b/>
          <w:sz w:val="22"/>
          <w:szCs w:val="22"/>
        </w:rPr>
      </w:r>
    </w:p>
    <w:p>
      <w:pPr>
        <w:pStyle w:val="Normal"/>
        <w:spacing w:lineRule="auto" w:line="360"/>
        <w:ind w:firstLine="708"/>
        <w:jc w:val="both"/>
        <w:rPr/>
      </w:pPr>
      <w:r>
        <w:rPr>
          <w:rFonts w:cs="Arial" w:ascii="Arial" w:hAnsi="Arial"/>
          <w:sz w:val="22"/>
          <w:szCs w:val="22"/>
        </w:rPr>
        <w:t>Zgodnie z przepisami art. 34 ust. 1 pkt 1 i pkt 2 ustawy z dnia 21 sierpnia 1997 o gospodarce nieruchomościami</w:t>
        <w:br/>
        <w:t xml:space="preserve"> (Dz. U. z 2018 r. poz. 121, z późn. zm.), termin złożenia wniosku przez osoby, którym przysługuje pierwszeństwo w nabyciu nieruchomości, wynosi 6 tygodni licząc od dnia wywieszenia wykazu na tablicy ogłoszeń na V piętrze w budynku Urzędu Marszałkowskiego Województwa Lubelskiego w Lublinie, ul. Artura Grottgera 4.</w:t>
      </w:r>
    </w:p>
    <w:p>
      <w:pPr>
        <w:sectPr>
          <w:type w:val="nextPage"/>
          <w:pgSz w:orient="landscape" w:w="16838" w:h="11906"/>
          <w:pgMar w:left="1417" w:right="1417" w:header="0" w:top="1134" w:footer="0" w:bottom="1417" w:gutter="0"/>
          <w:pgNumType w:fmt="decimal"/>
          <w:formProt w:val="false"/>
          <w:textDirection w:val="lrTb"/>
          <w:docGrid w:type="default" w:linePitch="360" w:charSpace="4294961151"/>
        </w:sectPr>
        <w:pStyle w:val="Normal"/>
        <w:spacing w:lineRule="auto" w:line="360"/>
        <w:jc w:val="both"/>
        <w:rPr/>
      </w:pPr>
      <w:r>
        <w:rPr>
          <w:rFonts w:cs="Arial" w:ascii="Arial" w:hAnsi="Arial"/>
          <w:b/>
          <w:sz w:val="22"/>
          <w:szCs w:val="22"/>
        </w:rPr>
        <w:t>Wnioski do Zarządu Województwa Lubelskiego należy składać na adres Urząd Marszałkowski Województwa Lubelskiego, Departament Mienia i Inwestycji, ul. Artura Grottgera 4, 20-029 Lublin, tel. 81 44 16 797, fax. 81 44 16 780.</w:t>
      </w:r>
    </w:p>
    <w:p>
      <w:pPr>
        <w:pStyle w:val="Normal"/>
        <w:jc w:val="right"/>
        <w:rPr>
          <w:rFonts w:ascii="Arial" w:hAnsi="Arial" w:cs="Arial"/>
          <w:sz w:val="20"/>
          <w:szCs w:val="20"/>
        </w:rPr>
      </w:pPr>
      <w:r>
        <w:rPr/>
      </w:r>
    </w:p>
    <w:p>
      <w:pPr>
        <w:pStyle w:val="Normal"/>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WYKAZ NIERUCHOMOŚCI PRZEZNACZONEJ DO SPRZEDAŻY W TRYBIE BEZPRZETARGOWYM PO OBNIŻONEJ CENIE NA RZECZ SKARBU PAŃSTWA W MIEJSCOWOŚCI KOŃSKOWOLA I NOWY POŻÓG</w:t>
      </w:r>
    </w:p>
    <w:p>
      <w:pPr>
        <w:pStyle w:val="Normal"/>
        <w:jc w:val="center"/>
        <w:rPr>
          <w:rFonts w:ascii="Arial" w:hAnsi="Arial" w:cs="Arial"/>
          <w:b/>
          <w:b/>
          <w:sz w:val="28"/>
          <w:szCs w:val="28"/>
        </w:rPr>
      </w:pPr>
      <w:r>
        <w:rPr>
          <w:rFonts w:cs="Arial" w:ascii="Arial" w:hAnsi="Arial"/>
          <w:b/>
          <w:sz w:val="28"/>
          <w:szCs w:val="28"/>
        </w:rPr>
      </w:r>
    </w:p>
    <w:p>
      <w:pPr>
        <w:pStyle w:val="Tekstpodstawowy31"/>
        <w:spacing w:lineRule="auto" w:line="360" w:before="0" w:after="0"/>
        <w:jc w:val="both"/>
        <w:rPr/>
      </w:pPr>
      <w:r>
        <w:rPr>
          <w:rFonts w:cs="Arial" w:ascii="Arial" w:hAnsi="Arial"/>
          <w:b/>
          <w:sz w:val="22"/>
          <w:szCs w:val="22"/>
        </w:rPr>
        <w:t>Nieruchomości stanowiące własność Województwa Lubelskiego dla których Sąd Rejonowy w Puławach prowadzi KW:</w:t>
      </w:r>
    </w:p>
    <w:p>
      <w:pPr>
        <w:pStyle w:val="ListParagraph"/>
        <w:numPr>
          <w:ilvl w:val="0"/>
          <w:numId w:val="1"/>
        </w:numPr>
        <w:spacing w:lineRule="auto" w:line="360"/>
        <w:jc w:val="both"/>
        <w:rPr/>
      </w:pPr>
      <w:r>
        <w:rPr>
          <w:rFonts w:cs="Arial" w:ascii="Arial" w:hAnsi="Arial"/>
          <w:b/>
          <w:sz w:val="22"/>
          <w:szCs w:val="22"/>
        </w:rPr>
        <w:t xml:space="preserve">LU1P/00051384/2 (Działka położona w miejscowości Końskowola, ozn. nr  1850/4 o pow. 0,0381 ha,), </w:t>
      </w:r>
    </w:p>
    <w:p>
      <w:pPr>
        <w:pStyle w:val="ListParagraph"/>
        <w:numPr>
          <w:ilvl w:val="0"/>
          <w:numId w:val="1"/>
        </w:numPr>
        <w:spacing w:lineRule="auto" w:line="360"/>
        <w:jc w:val="both"/>
        <w:rPr/>
      </w:pPr>
      <w:r>
        <w:rPr>
          <w:rFonts w:cs="Arial" w:ascii="Arial" w:hAnsi="Arial"/>
          <w:b/>
          <w:sz w:val="22"/>
          <w:szCs w:val="22"/>
        </w:rPr>
        <w:t xml:space="preserve">LU1P/00094125/2 (Działki położone w miejscowości Końskowola ozn. nr: 1840/14 o pow. 0,3546 ha, 1840/16 o pow. 0,1512 ha, 1840/26 o pow. 0,4897 ha, nr 1840/28 o pow. 0,1382 ha, 1840/39 o pow. 0,1504 ha, 1810/2 o pow. 1,7051 ha, 1820/23 o pow. 1,6200 ha, 1840/11 o  pow. 0,0648 ha, 1850/2 o pow. 0,6940 ha, 1820/27 o pow. 0,7708 ha, 1850/3 o pow. 0,0532 ha)      </w:t>
      </w:r>
    </w:p>
    <w:p>
      <w:pPr>
        <w:pStyle w:val="ListParagraph"/>
        <w:numPr>
          <w:ilvl w:val="0"/>
          <w:numId w:val="1"/>
        </w:numPr>
        <w:spacing w:lineRule="auto" w:line="360"/>
        <w:jc w:val="both"/>
        <w:rPr/>
      </w:pPr>
      <w:r>
        <w:rPr>
          <w:rFonts w:cs="Arial" w:ascii="Arial" w:hAnsi="Arial"/>
          <w:b/>
          <w:sz w:val="22"/>
          <w:szCs w:val="22"/>
        </w:rPr>
        <w:t xml:space="preserve">LU1P/00091730/5 (Działki położone w miejscowości Końskowola ozn. nr: </w:t>
      </w:r>
      <w:r>
        <w:rPr>
          <w:rFonts w:cs="Arial" w:ascii="Arial" w:hAnsi="Arial"/>
          <w:b/>
          <w:color w:val="00000A"/>
          <w:sz w:val="22"/>
          <w:szCs w:val="22"/>
        </w:rPr>
        <w:t xml:space="preserve">1820/1 o pow. 33,2383 ha, </w:t>
      </w:r>
      <w:r>
        <w:rPr>
          <w:rFonts w:cs="Arial" w:ascii="Arial" w:hAnsi="Arial"/>
          <w:b/>
          <w:sz w:val="22"/>
          <w:szCs w:val="22"/>
        </w:rPr>
        <w:t xml:space="preserve">1840/13 o pow. 8,2009 ha, 1840/41 o pow. 0,2662 ha, 1840/43 o pow. 0,9222 ha) </w:t>
      </w:r>
      <w:r>
        <w:rPr>
          <w:rFonts w:cs="Arial" w:ascii="Arial" w:hAnsi="Arial"/>
          <w:b/>
          <w:color w:val="00000A"/>
          <w:sz w:val="22"/>
          <w:szCs w:val="22"/>
        </w:rPr>
        <w:t xml:space="preserve"> </w:t>
      </w:r>
    </w:p>
    <w:p>
      <w:pPr>
        <w:pStyle w:val="ListParagraph"/>
        <w:numPr>
          <w:ilvl w:val="0"/>
          <w:numId w:val="1"/>
        </w:numPr>
        <w:spacing w:lineRule="auto" w:line="360"/>
        <w:jc w:val="both"/>
        <w:rPr/>
      </w:pPr>
      <w:r>
        <w:rPr>
          <w:rFonts w:cs="Arial" w:ascii="Arial" w:hAnsi="Arial"/>
          <w:b/>
          <w:sz w:val="22"/>
          <w:szCs w:val="22"/>
        </w:rPr>
        <w:t>LU1P/00092420/6</w:t>
      </w:r>
      <w:r>
        <w:rPr>
          <w:rFonts w:cs="Arial" w:ascii="Arial" w:hAnsi="Arial"/>
          <w:sz w:val="22"/>
          <w:szCs w:val="22"/>
        </w:rPr>
        <w:t xml:space="preserve"> </w:t>
      </w:r>
      <w:r>
        <w:rPr>
          <w:rFonts w:cs="Arial" w:ascii="Arial" w:hAnsi="Arial"/>
          <w:b/>
          <w:sz w:val="22"/>
          <w:szCs w:val="22"/>
        </w:rPr>
        <w:t>(Działka położona w miejscowości Nowy Pożóg ozn. nr 199/1 o pow. 1,9090 ha)</w:t>
      </w:r>
    </w:p>
    <w:p>
      <w:pPr>
        <w:pStyle w:val="Normal"/>
        <w:spacing w:lineRule="auto" w:line="360"/>
        <w:jc w:val="both"/>
        <w:rPr/>
      </w:pPr>
      <w:r>
        <w:rPr>
          <w:rFonts w:cs="Arial" w:ascii="Arial" w:hAnsi="Arial"/>
          <w:b/>
          <w:sz w:val="22"/>
          <w:szCs w:val="22"/>
        </w:rPr>
        <w:t>Przeznaczanie działek zgodnie z miejscowym planem zagospodarowania przestrzennego:</w:t>
      </w:r>
    </w:p>
    <w:p>
      <w:pPr>
        <w:pStyle w:val="Normal"/>
        <w:spacing w:lineRule="auto" w:line="360"/>
        <w:jc w:val="both"/>
        <w:rPr/>
      </w:pPr>
      <w:r>
        <w:rPr>
          <w:rFonts w:cs="Arial" w:ascii="Arial" w:hAnsi="Arial"/>
          <w:b/>
          <w:sz w:val="22"/>
          <w:szCs w:val="22"/>
        </w:rPr>
        <w:t>- działki nr 1850/4 o pow. 0,0381 ha, nr 1850/3 o pow. 0,0532 ha, nr 1850/2 o pow. 0,6940 ha, znajdują się na terenie oznaczonym symbolami RPU, RPO, MN – tereny urządzeń i obsługi rolnictwa, produkcji ogrodniczej i mieszkalnictwa niskiego,</w:t>
      </w:r>
    </w:p>
    <w:p>
      <w:pPr>
        <w:pStyle w:val="Normal"/>
        <w:spacing w:lineRule="auto" w:line="360"/>
        <w:jc w:val="both"/>
        <w:rPr/>
      </w:pPr>
      <w:r>
        <w:rPr>
          <w:rFonts w:cs="Arial" w:ascii="Arial" w:hAnsi="Arial"/>
          <w:b/>
          <w:sz w:val="22"/>
          <w:szCs w:val="22"/>
        </w:rPr>
        <w:t xml:space="preserve">- działki nr 1820/27 o pow. 0,7708 </w:t>
      </w:r>
      <w:r>
        <w:rPr>
          <w:rFonts w:cs="Arial" w:ascii="Arial" w:hAnsi="Arial"/>
          <w:b/>
          <w:color w:val="00000A"/>
          <w:sz w:val="22"/>
          <w:szCs w:val="22"/>
        </w:rPr>
        <w:t xml:space="preserve">ha,  nr 1820/1 o pow. 33,2383 ha, znajdują </w:t>
      </w:r>
      <w:r>
        <w:rPr>
          <w:rFonts w:cs="Arial" w:ascii="Arial" w:hAnsi="Arial"/>
          <w:b/>
          <w:sz w:val="22"/>
          <w:szCs w:val="22"/>
        </w:rPr>
        <w:t>się na terenie oznaczonym symbolami RP i RO – tereny upraw polnych, upraw ogrodniczych i sadowniczych,</w:t>
      </w:r>
    </w:p>
    <w:p>
      <w:pPr>
        <w:pStyle w:val="Normal"/>
        <w:spacing w:lineRule="auto" w:line="360"/>
        <w:jc w:val="both"/>
        <w:rPr/>
      </w:pPr>
      <w:r>
        <w:rPr>
          <w:rFonts w:cs="Arial" w:ascii="Arial" w:hAnsi="Arial"/>
          <w:b/>
          <w:sz w:val="22"/>
          <w:szCs w:val="22"/>
        </w:rPr>
        <w:t>- działki nr 1840/14 o pow. 0,3546 ha, nr 1840/16 o pow. 0,1512 ha, nr 1840/26 o pow. 0,4897 ha, nr 1840/28 o pow. 0,1382 ha, nr 1840/39 o pow. 0,1504 ha, nr 1840/11 o  pow. 0,0648 ha, nr 1840/43 o pow. 0,9222 ha, położone są na terenie oznaczonym RPU, MN – tereny produkcji i obsługi rolnictwa i mieszkalnictwa niskiego,</w:t>
      </w:r>
    </w:p>
    <w:p>
      <w:pPr>
        <w:pStyle w:val="Normal"/>
        <w:spacing w:lineRule="auto" w:line="360"/>
        <w:jc w:val="both"/>
        <w:rPr/>
      </w:pPr>
      <w:r>
        <w:rPr>
          <w:rFonts w:cs="Arial" w:ascii="Arial" w:hAnsi="Arial"/>
          <w:b/>
          <w:sz w:val="22"/>
          <w:szCs w:val="22"/>
        </w:rPr>
        <w:t>- działki nr 1840/41 o pow. 0,2662 ha, nr 1840/13 o pow. 8,2009 ha, znajdują się na terenie oznaczonym symbolami RP – uprawy polowe,</w:t>
      </w:r>
    </w:p>
    <w:p>
      <w:pPr>
        <w:pStyle w:val="Normal"/>
        <w:spacing w:lineRule="auto" w:line="360"/>
        <w:jc w:val="both"/>
        <w:rPr/>
      </w:pPr>
      <w:r>
        <w:rPr>
          <w:rFonts w:cs="Arial" w:ascii="Arial" w:hAnsi="Arial"/>
          <w:b/>
          <w:sz w:val="22"/>
          <w:szCs w:val="22"/>
        </w:rPr>
        <w:t>- działka nr 1810/2 o pow. 1,7051 ha, położona jest na terenie oznaczonym symbolami UC i UP – terenu usług komercyjnych i usług publicznych,</w:t>
      </w:r>
    </w:p>
    <w:p>
      <w:pPr>
        <w:pStyle w:val="Normal"/>
        <w:spacing w:lineRule="auto" w:line="360"/>
        <w:jc w:val="both"/>
        <w:rPr/>
      </w:pPr>
      <w:r>
        <w:rPr>
          <w:rFonts w:cs="Arial" w:ascii="Arial" w:hAnsi="Arial"/>
          <w:b/>
          <w:sz w:val="22"/>
          <w:szCs w:val="22"/>
        </w:rPr>
        <w:t>-  działka nr 1820/23 o pow. 1,6200 ha,  położona jest na terenie oznaczonym symbolami UP – usługi publiczne,</w:t>
      </w:r>
    </w:p>
    <w:p>
      <w:pPr>
        <w:pStyle w:val="Normal"/>
        <w:spacing w:lineRule="auto" w:line="360"/>
        <w:jc w:val="both"/>
        <w:rPr/>
      </w:pPr>
      <w:r>
        <w:rPr>
          <w:rFonts w:cs="Arial" w:ascii="Arial" w:hAnsi="Arial"/>
          <w:b/>
          <w:sz w:val="22"/>
          <w:szCs w:val="22"/>
        </w:rPr>
        <w:t>- działka nr 199/1 o pow. 1,9090 ha, położona jest na terenie oznaczonym RP, MN – tereny upraw polowych oraz mieszkalnictwa rolnego.</w:t>
      </w:r>
    </w:p>
    <w:p>
      <w:pPr>
        <w:pStyle w:val="Normal"/>
        <w:jc w:val="both"/>
        <w:rPr>
          <w:rFonts w:ascii="Arial" w:hAnsi="Arial" w:cs="Arial"/>
          <w:b/>
          <w:b/>
          <w:color w:val="000000"/>
          <w:sz w:val="22"/>
          <w:szCs w:val="22"/>
        </w:rPr>
      </w:pPr>
      <w:r>
        <w:rPr>
          <w:rFonts w:cs="Arial" w:ascii="Arial" w:hAnsi="Arial"/>
          <w:b/>
          <w:color w:val="000000"/>
          <w:sz w:val="22"/>
          <w:szCs w:val="22"/>
        </w:rPr>
      </w:r>
    </w:p>
    <w:tbl>
      <w:tblPr>
        <w:tblW w:w="13888" w:type="dxa"/>
        <w:jc w:val="left"/>
        <w:tblInd w:w="17" w:type="dxa"/>
        <w:tblBorders>
          <w:top w:val="single" w:sz="4" w:space="0" w:color="00000A"/>
          <w:left w:val="single" w:sz="4" w:space="0" w:color="00000A"/>
          <w:bottom w:val="single" w:sz="4" w:space="0" w:color="00000A"/>
          <w:insideH w:val="single" w:sz="4" w:space="0" w:color="00000A"/>
        </w:tblBorders>
        <w:tblCellMar>
          <w:top w:w="0" w:type="dxa"/>
          <w:left w:w="13" w:type="dxa"/>
          <w:bottom w:w="0" w:type="dxa"/>
          <w:right w:w="108" w:type="dxa"/>
        </w:tblCellMar>
        <w:tblLook w:firstRow="1" w:noVBand="1" w:lastRow="0" w:firstColumn="1" w:lastColumn="0" w:noHBand="0" w:val="04a0"/>
      </w:tblPr>
      <w:tblGrid>
        <w:gridCol w:w="618"/>
        <w:gridCol w:w="1822"/>
        <w:gridCol w:w="1669"/>
        <w:gridCol w:w="4534"/>
        <w:gridCol w:w="1703"/>
        <w:gridCol w:w="3541"/>
      </w:tblGrid>
      <w:tr>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Lp.</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Oznaczenie nieruchomości     w ewidencji gruntów</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Powierzchnia działki w ha</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snapToGrid w:val="false"/>
              <w:jc w:val="center"/>
              <w:rPr>
                <w:rFonts w:ascii="Arial" w:hAnsi="Arial" w:cs="Arial"/>
                <w:b/>
                <w:b/>
              </w:rPr>
            </w:pPr>
            <w:r>
              <w:rPr>
                <w:rFonts w:cs="Arial" w:ascii="Arial" w:hAnsi="Arial"/>
                <w:b/>
              </w:rPr>
            </w:r>
          </w:p>
          <w:p>
            <w:pPr>
              <w:pStyle w:val="Normal"/>
              <w:jc w:val="center"/>
              <w:rPr/>
            </w:pPr>
            <w:r>
              <w:rPr>
                <w:rFonts w:cs="Arial" w:ascii="Arial" w:hAnsi="Arial"/>
                <w:b/>
                <w:sz w:val="22"/>
                <w:szCs w:val="22"/>
              </w:rPr>
              <w:t>Opis nieruchomości</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Fonts w:cs="Arial" w:ascii="Arial" w:hAnsi="Arial"/>
                <w:b/>
                <w:sz w:val="22"/>
                <w:szCs w:val="22"/>
              </w:rPr>
              <w:t>Cena  nieruchomości</w:t>
            </w:r>
          </w:p>
        </w:tc>
        <w:tc>
          <w:tcPr>
            <w:tcW w:w="3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Arial" w:hAnsi="Arial" w:cs="Arial"/>
                <w:b/>
                <w:b/>
                <w:sz w:val="22"/>
                <w:szCs w:val="22"/>
              </w:rPr>
            </w:pPr>
            <w:r>
              <w:rPr>
                <w:rFonts w:cs="Arial" w:ascii="Arial" w:hAnsi="Arial"/>
                <w:b/>
                <w:sz w:val="22"/>
                <w:szCs w:val="22"/>
              </w:rPr>
              <w:t>Uwagi</w:t>
            </w:r>
          </w:p>
        </w:tc>
      </w:tr>
      <w:tr>
        <w:trPr>
          <w:trHeight w:val="1988"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1850/4</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0,0381</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tcPr>
          <w:p>
            <w:pPr>
              <w:pStyle w:val="Normal"/>
              <w:jc w:val="both"/>
              <w:rPr/>
            </w:pPr>
            <w:r>
              <w:rPr>
                <w:rFonts w:cs="Arial" w:ascii="Arial" w:hAnsi="Arial"/>
                <w:sz w:val="22"/>
                <w:szCs w:val="22"/>
              </w:rPr>
              <w:t>Nieruchomość stanowi działka zabudowana dwoma garażami o niskim standardzie, jednokondygnacyjnymi, zbudowanymi w 1967 r. Stan techniczny budynków jest średni, w chwili obecnej wymagają kapitalnego remontu. Województwo Lubelskie posiada udział w przedmiotowej nieruchomości w wysokości  2435/38130.</w:t>
            </w:r>
          </w:p>
        </w:tc>
        <w:tc>
          <w:tcPr>
            <w:tcW w:w="17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Standard"/>
              <w:spacing w:lineRule="auto" w:line="360"/>
              <w:jc w:val="center"/>
              <w:rPr>
                <w:rFonts w:ascii="Arial" w:hAnsi="Arial"/>
                <w:sz w:val="22"/>
                <w:szCs w:val="22"/>
              </w:rPr>
            </w:pPr>
            <w:r>
              <w:rPr>
                <w:rFonts w:ascii="Arial" w:hAnsi="Arial"/>
                <w:sz w:val="22"/>
                <w:szCs w:val="22"/>
              </w:rPr>
              <w:t>37 515,00 zł</w:t>
            </w:r>
          </w:p>
        </w:tc>
        <w:tc>
          <w:tcPr>
            <w:tcW w:w="35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Nieruchomość jest sprzedawana </w:t>
              <w:br/>
              <w:t xml:space="preserve">w trybie bezprzetargowym po obniżonej cenie Skarbowi Państwa na działalność statutową Lubelskiego Ośrodka Doradztwa Rolniczego, zgodnie z art. 14 </w:t>
              <w:br/>
              <w:t>ust. 1 ustawy o gospodarce nieruchomościami</w:t>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2.</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1850/3</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0,0532</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stanowi drogę dojazdowa do pasieki, jest utwardzona asfaltem.</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3.</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1850/2</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0,6940</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zabudowana jest budynkiem pracowni pszczelarskiej, murowanym, parterowym, podpiwniczonym, krytym eternitem oraz wiatą o konstrukcji stalowej, krytą eternitem.</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4.</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1820/27</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0,7708</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Na działce znajduje się ogród biosurowcowy, replika ogrodu pożowskiego. Jest to obiekt dydaktyczny, w którym znajduje się ponad 70 gatunków roślin zielonych. Dojazd do nieruchomości drogą utwardzoną.</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5.</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1820/1</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33,2383</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zabudowana jest wiatą na owoce, budynkiem stróżówki, pracownią polową i wiatą na maszyny.</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6.</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1840/14</w:t>
            </w:r>
          </w:p>
          <w:p>
            <w:pPr>
              <w:pStyle w:val="Normal"/>
              <w:jc w:val="center"/>
              <w:rPr>
                <w:rFonts w:ascii="Arial" w:hAnsi="Arial"/>
                <w:sz w:val="22"/>
                <w:szCs w:val="22"/>
              </w:rPr>
            </w:pPr>
            <w:r>
              <w:rPr>
                <w:rFonts w:ascii="Arial" w:hAnsi="Arial"/>
                <w:sz w:val="22"/>
                <w:szCs w:val="22"/>
              </w:rPr>
              <w:t>1840/16</w:t>
            </w:r>
          </w:p>
          <w:p>
            <w:pPr>
              <w:pStyle w:val="Normal"/>
              <w:jc w:val="center"/>
              <w:rPr>
                <w:rFonts w:ascii="Arial" w:hAnsi="Arial"/>
                <w:sz w:val="22"/>
                <w:szCs w:val="22"/>
              </w:rPr>
            </w:pPr>
            <w:r>
              <w:rPr>
                <w:rFonts w:ascii="Arial" w:hAnsi="Arial"/>
                <w:sz w:val="22"/>
                <w:szCs w:val="22"/>
              </w:rPr>
              <w:t>1840/26</w:t>
            </w:r>
          </w:p>
          <w:p>
            <w:pPr>
              <w:pStyle w:val="Normal"/>
              <w:jc w:val="center"/>
              <w:rPr>
                <w:rFonts w:ascii="Arial" w:hAnsi="Arial"/>
                <w:sz w:val="22"/>
                <w:szCs w:val="22"/>
              </w:rPr>
            </w:pPr>
            <w:r>
              <w:rPr>
                <w:rFonts w:ascii="Arial" w:hAnsi="Arial"/>
                <w:sz w:val="22"/>
                <w:szCs w:val="22"/>
              </w:rPr>
              <w:t>1840/28</w:t>
            </w:r>
          </w:p>
          <w:p>
            <w:pPr>
              <w:pStyle w:val="Normal"/>
              <w:jc w:val="center"/>
              <w:rPr>
                <w:rFonts w:ascii="Arial" w:hAnsi="Arial"/>
                <w:sz w:val="22"/>
                <w:szCs w:val="22"/>
              </w:rPr>
            </w:pPr>
            <w:r>
              <w:rPr>
                <w:rFonts w:ascii="Arial" w:hAnsi="Arial"/>
                <w:sz w:val="22"/>
                <w:szCs w:val="22"/>
              </w:rPr>
              <w:t>1840/39</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0,3546</w:t>
            </w:r>
          </w:p>
          <w:p>
            <w:pPr>
              <w:pStyle w:val="Normal"/>
              <w:jc w:val="center"/>
              <w:rPr>
                <w:rFonts w:ascii="Arial" w:hAnsi="Arial"/>
                <w:sz w:val="22"/>
                <w:szCs w:val="22"/>
              </w:rPr>
            </w:pPr>
            <w:r>
              <w:rPr>
                <w:rFonts w:ascii="Arial" w:hAnsi="Arial"/>
                <w:sz w:val="22"/>
                <w:szCs w:val="22"/>
              </w:rPr>
              <w:t>0,1512</w:t>
            </w:r>
          </w:p>
          <w:p>
            <w:pPr>
              <w:pStyle w:val="Normal"/>
              <w:jc w:val="center"/>
              <w:rPr>
                <w:rFonts w:ascii="Arial" w:hAnsi="Arial"/>
                <w:sz w:val="22"/>
                <w:szCs w:val="22"/>
              </w:rPr>
            </w:pPr>
            <w:r>
              <w:rPr>
                <w:rFonts w:ascii="Arial" w:hAnsi="Arial"/>
                <w:sz w:val="22"/>
                <w:szCs w:val="22"/>
              </w:rPr>
              <w:t>0,4897</w:t>
            </w:r>
          </w:p>
          <w:p>
            <w:pPr>
              <w:pStyle w:val="Normal"/>
              <w:jc w:val="center"/>
              <w:rPr>
                <w:rFonts w:ascii="Arial" w:hAnsi="Arial"/>
                <w:sz w:val="22"/>
                <w:szCs w:val="22"/>
              </w:rPr>
            </w:pPr>
            <w:r>
              <w:rPr>
                <w:rFonts w:ascii="Arial" w:hAnsi="Arial"/>
                <w:sz w:val="22"/>
                <w:szCs w:val="22"/>
              </w:rPr>
              <w:t>0,1382</w:t>
            </w:r>
          </w:p>
          <w:p>
            <w:pPr>
              <w:pStyle w:val="Normal"/>
              <w:jc w:val="center"/>
              <w:rPr>
                <w:rFonts w:ascii="Arial" w:hAnsi="Arial"/>
                <w:sz w:val="22"/>
                <w:szCs w:val="22"/>
              </w:rPr>
            </w:pPr>
            <w:r>
              <w:rPr>
                <w:rFonts w:ascii="Arial" w:hAnsi="Arial"/>
                <w:sz w:val="22"/>
                <w:szCs w:val="22"/>
              </w:rPr>
              <w:t>0,1504</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Działki o łącznej pow. 1,2841 ha, położone w miejscowości Pożóg, o kształcie regularnym, niezabudowane, uprawiane rolniczo. Dojazd do nieruchomości drogą utwardzoną gminną.</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7.</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1840/11</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0,0648</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o kształcie regularnym, nieogrodzona, zabudowana jest budynkiem biurowo-magazynowym, murowanym, parterowym, podpiwniczonym, krytym blachą. Dojazd do nieruchomości drogą utwardzoną.</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8.</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t>1840/43</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t>0,9222</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zabudowana jest budynkiem stodoły, dwoma garażami, wiatą na maszyny, magazynem nawozów i budynkiem gospodarczo-garażowym. Nieruchomość nieogrodzona, porośnięta trawą oraz drzewami, drogi i place utwardzone trylinką i betonem. Dojazd do działki utwardzoną drogą gminną.</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9.</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1840/13</w:t>
            </w:r>
          </w:p>
          <w:p>
            <w:pPr>
              <w:pStyle w:val="Normal"/>
              <w:jc w:val="center"/>
              <w:rPr>
                <w:rFonts w:ascii="Arial" w:hAnsi="Arial"/>
                <w:sz w:val="22"/>
                <w:szCs w:val="22"/>
              </w:rPr>
            </w:pPr>
            <w:r>
              <w:rPr>
                <w:rFonts w:ascii="Arial" w:hAnsi="Arial"/>
                <w:sz w:val="22"/>
                <w:szCs w:val="22"/>
              </w:rPr>
              <w:t>1840/41</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8,2009</w:t>
            </w:r>
          </w:p>
          <w:p>
            <w:pPr>
              <w:pStyle w:val="Normal"/>
              <w:jc w:val="center"/>
              <w:rPr>
                <w:rFonts w:ascii="Arial" w:hAnsi="Arial"/>
                <w:sz w:val="22"/>
                <w:szCs w:val="22"/>
              </w:rPr>
            </w:pPr>
            <w:r>
              <w:rPr>
                <w:rFonts w:ascii="Arial" w:hAnsi="Arial"/>
                <w:sz w:val="22"/>
                <w:szCs w:val="22"/>
              </w:rPr>
              <w:t>0,2662</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Działki niezabudowane uprawiane rolniczo (użytki rolne z przewagą RII). Dojazd do nieruchomości drogami utwardzonymi.</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10.</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1810/2</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 xml:space="preserve">1,7051 </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zabudowana jest pawilonami wystawowymi o łącznej pow. 1781 m</w:t>
            </w:r>
            <w:r>
              <w:rPr>
                <w:rFonts w:ascii="Arial" w:hAnsi="Arial"/>
                <w:sz w:val="22"/>
                <w:szCs w:val="22"/>
                <w:vertAlign w:val="superscript"/>
              </w:rPr>
              <w:t>2</w:t>
            </w:r>
            <w:r>
              <w:rPr>
                <w:rFonts w:ascii="Arial" w:hAnsi="Arial"/>
                <w:sz w:val="22"/>
                <w:szCs w:val="22"/>
              </w:rPr>
              <w:t>. Nieruchomość jest zagospodarowana, porośnięta pielęgnowanymi trawnikami oraz drzewami. Podjazdy oraz ciągi piesze przy pawilonach utwardzone płytami betonowymi, oświetlenie na słupach energetycznych. Działka ogrodzona jest siatką na słupach stalowych.</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11</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1820/23</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1,6200</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zabudowana jest budynkiem administracyjnym, budynkiem poligrafii, budynkiem Centrum Innowacyjno-Szkoleniowym, garażem, gazownią murowaną oraz wiatą ogrodową. Nieruchomość jest zagospodarowana, porośnięta pielęgnowanymi trawnikami oraz drzewami. Podjazdy oraz ciągi piesze przy pawilonach utwardzone płytami betonowymi, oświetlenie na słupach energetycznych. Działka ogrodzona jest siatką handlową na słupach stalowych.</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sz w:val="22"/>
                <w:szCs w:val="22"/>
              </w:rPr>
            </w:pPr>
            <w:r>
              <w:rPr>
                <w:rFonts w:ascii="Arial" w:hAnsi="Arial"/>
                <w:sz w:val="22"/>
                <w:szCs w:val="22"/>
              </w:rPr>
            </w:r>
          </w:p>
        </w:tc>
      </w:tr>
      <w:tr>
        <w:trPr>
          <w:trHeight w:val="553" w:hRule="atLeast"/>
        </w:trPr>
        <w:tc>
          <w:tcPr>
            <w:tcW w:w="61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12</w:t>
            </w:r>
          </w:p>
        </w:tc>
        <w:tc>
          <w:tcPr>
            <w:tcW w:w="1822"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199/1</w:t>
            </w:r>
          </w:p>
        </w:tc>
        <w:tc>
          <w:tcPr>
            <w:tcW w:w="1669"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1,9090</w:t>
            </w:r>
          </w:p>
        </w:tc>
        <w:tc>
          <w:tcPr>
            <w:tcW w:w="4534"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Działka położona w Nowym Pożogu o kształcie regularnym, nieogrodzona, uprawiana rolniczo.</w:t>
            </w:r>
          </w:p>
        </w:tc>
        <w:tc>
          <w:tcPr>
            <w:tcW w:w="17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tc>
        <w:tc>
          <w:tcPr>
            <w:tcW w:w="35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sz w:val="22"/>
                <w:szCs w:val="22"/>
              </w:rPr>
            </w:pPr>
            <w:r>
              <w:rPr>
                <w:rFonts w:ascii="Arial" w:hAnsi="Arial"/>
                <w:sz w:val="22"/>
                <w:szCs w:val="22"/>
              </w:rPr>
            </w:r>
          </w:p>
        </w:tc>
      </w:tr>
    </w:tbl>
    <w:p>
      <w:pPr>
        <w:pStyle w:val="Normal"/>
        <w:spacing w:lineRule="auto" w:line="360"/>
        <w:ind w:firstLine="708"/>
        <w:jc w:val="both"/>
        <w:rPr>
          <w:rFonts w:ascii="Arial" w:hAnsi="Arial" w:cs="Arial"/>
          <w:b/>
          <w:b/>
          <w:sz w:val="22"/>
          <w:szCs w:val="22"/>
        </w:rPr>
      </w:pPr>
      <w:r>
        <w:rPr>
          <w:rFonts w:cs="Arial" w:ascii="Arial" w:hAnsi="Arial"/>
          <w:b/>
          <w:sz w:val="22"/>
          <w:szCs w:val="22"/>
        </w:rPr>
      </w:r>
    </w:p>
    <w:p>
      <w:pPr>
        <w:pStyle w:val="Normal"/>
        <w:spacing w:lineRule="auto" w:line="360"/>
        <w:ind w:firstLine="708"/>
        <w:jc w:val="both"/>
        <w:rPr/>
      </w:pPr>
      <w:r>
        <w:rPr>
          <w:rFonts w:cs="Arial" w:ascii="Arial" w:hAnsi="Arial"/>
          <w:sz w:val="22"/>
          <w:szCs w:val="22"/>
        </w:rPr>
        <w:t>Zgodnie z przepisami art. 34 ust. 1 pkt 1 i pkt 2 ustawy z dnia 21 sierpnia 1997 o gospodarce nieruchomościami</w:t>
        <w:br/>
        <w:t xml:space="preserve"> (Dz. U. z 2018 r. poz. 121, z późn. zm.), termin złożenia wniosku przez osoby, którym przysługuje pierwszeństwo w nabyciu nieruchomości, wynosi 6 tygodni licząc od dnia wywieszenia wykazu na tablicy ogłoszeń na V piętrze w budynku Urzędu Marszałkowskiego Województwa Lubelskiego w Lublinie, ul. Artura Grottgera 4.</w:t>
      </w:r>
    </w:p>
    <w:p>
      <w:pPr>
        <w:pStyle w:val="Normal"/>
        <w:spacing w:lineRule="auto" w:line="360"/>
        <w:jc w:val="both"/>
        <w:rPr>
          <w:rFonts w:ascii="Arial" w:hAnsi="Arial" w:cs="Arial"/>
          <w:sz w:val="18"/>
          <w:szCs w:val="18"/>
        </w:rPr>
      </w:pPr>
      <w:r>
        <w:rPr>
          <w:rFonts w:cs="Arial" w:ascii="Arial" w:hAnsi="Arial"/>
          <w:b/>
          <w:sz w:val="22"/>
          <w:szCs w:val="22"/>
        </w:rPr>
        <w:t>Wnioski do Zarządu Województwa Lubelskiego należy składać na adres Urząd Marszałkowski Województwa Lubelskiego, Departament Mienia i Inwestycji, ul. Artura Grottgera 4, 20-029 Lublin, tel. 81 44 16 797, fax. 81 44 16 780.</w:t>
      </w:r>
    </w:p>
    <w:p>
      <w:pPr>
        <w:pStyle w:val="Normal"/>
        <w:jc w:val="center"/>
        <w:rPr>
          <w:rFonts w:ascii="Arial" w:hAnsi="Arial" w:cs="Arial"/>
          <w:b/>
          <w:b/>
          <w:sz w:val="28"/>
          <w:szCs w:val="28"/>
        </w:rPr>
      </w:pPr>
      <w:r>
        <w:rPr>
          <w:rFonts w:cs="Arial" w:ascii="Arial" w:hAnsi="Arial"/>
          <w:b/>
          <w:sz w:val="28"/>
          <w:szCs w:val="28"/>
        </w:rPr>
      </w:r>
    </w:p>
    <w:p>
      <w:pPr>
        <w:pStyle w:val="Normal"/>
        <w:spacing w:lineRule="auto" w:line="360"/>
        <w:jc w:val="both"/>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pPr>
      <w:r>
        <w:rPr/>
      </w:r>
    </w:p>
    <w:p>
      <w:pPr>
        <w:pStyle w:val="Normal"/>
        <w:jc w:val="center"/>
        <w:rPr/>
      </w:pPr>
      <w:r>
        <w:rPr/>
      </w:r>
    </w:p>
    <w:p>
      <w:pPr>
        <w:pStyle w:val="Normal"/>
        <w:jc w:val="center"/>
        <w:rPr/>
      </w:pPr>
      <w:r>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r>
    </w:p>
    <w:p>
      <w:pPr>
        <w:pStyle w:val="Normal"/>
        <w:jc w:val="right"/>
        <w:rPr>
          <w:rFonts w:ascii="Arial" w:hAnsi="Arial" w:cs="Arial"/>
          <w:sz w:val="20"/>
          <w:szCs w:val="20"/>
        </w:rPr>
      </w:pPr>
      <w:r>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WYKAZ NIERUCHOMOŚCI PRZEZNACZONEJ DO SPRZEDAŻY W TRYBIE BEZPRZETARGOWYM PO OBNIŻONEJ CENIE NA RZECZ SKARBU PAŃSTWA W MIEJSCOWOŚCI SITNO</w:t>
      </w:r>
    </w:p>
    <w:p>
      <w:pPr>
        <w:pStyle w:val="Normal"/>
        <w:jc w:val="center"/>
        <w:rPr>
          <w:rFonts w:ascii="Arial" w:hAnsi="Arial" w:cs="Arial"/>
          <w:b/>
          <w:b/>
          <w:sz w:val="28"/>
          <w:szCs w:val="28"/>
        </w:rPr>
      </w:pPr>
      <w:r>
        <w:rPr>
          <w:rFonts w:cs="Arial" w:ascii="Arial" w:hAnsi="Arial"/>
          <w:b/>
          <w:sz w:val="28"/>
          <w:szCs w:val="28"/>
        </w:rPr>
      </w:r>
    </w:p>
    <w:p>
      <w:pPr>
        <w:pStyle w:val="Tekstpodstawowy31"/>
        <w:spacing w:lineRule="auto" w:line="360" w:before="0" w:after="0"/>
        <w:jc w:val="both"/>
        <w:rPr/>
      </w:pPr>
      <w:r>
        <w:rPr>
          <w:rFonts w:cs="Arial" w:ascii="Arial" w:hAnsi="Arial"/>
          <w:b/>
          <w:sz w:val="22"/>
          <w:szCs w:val="22"/>
        </w:rPr>
        <w:t xml:space="preserve">Działki stanowiące własność Województwa Lubelskiego położone w miejscowości Sitno. </w:t>
      </w:r>
    </w:p>
    <w:p>
      <w:pPr>
        <w:pStyle w:val="Normal"/>
        <w:spacing w:lineRule="auto" w:line="360"/>
        <w:jc w:val="both"/>
        <w:rPr/>
      </w:pPr>
      <w:r>
        <w:rPr>
          <w:rFonts w:cs="Arial" w:ascii="Arial" w:hAnsi="Arial"/>
          <w:b/>
          <w:sz w:val="22"/>
          <w:szCs w:val="22"/>
        </w:rPr>
        <w:t>ZA1Z/00105837/8</w:t>
      </w:r>
      <w:r>
        <w:rPr>
          <w:rFonts w:cs="Arial" w:ascii="Arial" w:hAnsi="Arial"/>
          <w:sz w:val="22"/>
          <w:szCs w:val="22"/>
        </w:rPr>
        <w:t xml:space="preserve"> </w:t>
      </w:r>
      <w:r>
        <w:rPr>
          <w:rFonts w:cs="Arial" w:ascii="Arial" w:hAnsi="Arial"/>
          <w:b/>
          <w:sz w:val="22"/>
          <w:szCs w:val="22"/>
        </w:rPr>
        <w:t>- Sąd Rejonowy w Zamościu.</w:t>
      </w:r>
    </w:p>
    <w:p>
      <w:pPr>
        <w:pStyle w:val="Normal"/>
        <w:spacing w:lineRule="auto" w:line="360"/>
        <w:jc w:val="both"/>
        <w:rPr/>
      </w:pPr>
      <w:r>
        <w:rPr>
          <w:rFonts w:cs="Arial" w:ascii="Arial" w:hAnsi="Arial"/>
          <w:b/>
          <w:sz w:val="22"/>
          <w:szCs w:val="22"/>
        </w:rPr>
        <w:t>Zgodnie z miejscowym planem zagospodarowania przestrzennego działka nr 1110/3 położona jest na terenach przeznaczonych pod oczyszczalnię ścieków, działka nr 1110/10 położona jest na terenach przeznaczonych pod obsługę rolnictwa i ośrodek szkoleniowy, działka nr 1110/8 położona jest na terenie przeznaczonym pod zabudowę wielorodzinną.</w:t>
      </w:r>
    </w:p>
    <w:p>
      <w:pPr>
        <w:pStyle w:val="Normal"/>
        <w:spacing w:lineRule="auto" w:line="360"/>
        <w:jc w:val="both"/>
        <w:rPr>
          <w:rFonts w:ascii="Arial" w:hAnsi="Arial" w:cs="Arial"/>
          <w:b/>
          <w:b/>
          <w:sz w:val="22"/>
          <w:szCs w:val="22"/>
        </w:rPr>
      </w:pPr>
      <w:r>
        <w:rPr>
          <w:rFonts w:cs="Arial" w:ascii="Arial" w:hAnsi="Arial"/>
          <w:b/>
          <w:sz w:val="22"/>
          <w:szCs w:val="22"/>
        </w:rPr>
      </w:r>
    </w:p>
    <w:tbl>
      <w:tblPr>
        <w:tblW w:w="13463" w:type="dxa"/>
        <w:jc w:val="left"/>
        <w:tblInd w:w="17" w:type="dxa"/>
        <w:tblBorders>
          <w:top w:val="single" w:sz="4" w:space="0" w:color="00000A"/>
          <w:left w:val="single" w:sz="4" w:space="0" w:color="00000A"/>
          <w:bottom w:val="single" w:sz="4" w:space="0" w:color="00000A"/>
          <w:insideH w:val="single" w:sz="4" w:space="0" w:color="00000A"/>
        </w:tblBorders>
        <w:tblCellMar>
          <w:top w:w="0" w:type="dxa"/>
          <w:left w:w="13" w:type="dxa"/>
          <w:bottom w:w="0" w:type="dxa"/>
          <w:right w:w="108" w:type="dxa"/>
        </w:tblCellMar>
        <w:tblLook w:firstRow="1" w:noVBand="1" w:lastRow="0" w:firstColumn="1" w:lastColumn="0" w:noHBand="0" w:val="04a0"/>
      </w:tblPr>
      <w:tblGrid>
        <w:gridCol w:w="626"/>
        <w:gridCol w:w="1828"/>
        <w:gridCol w:w="1537"/>
        <w:gridCol w:w="4085"/>
        <w:gridCol w:w="1700"/>
        <w:gridCol w:w="3686"/>
      </w:tblGrid>
      <w:tr>
        <w:trPr/>
        <w:tc>
          <w:tcPr>
            <w:tcW w:w="62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Lp.</w:t>
            </w:r>
          </w:p>
        </w:tc>
        <w:tc>
          <w:tcPr>
            <w:tcW w:w="182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Oznaczenie nieruchomości     w ewidencji gruntów</w:t>
            </w:r>
          </w:p>
        </w:tc>
        <w:tc>
          <w:tcPr>
            <w:tcW w:w="1537"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b/>
                <w:sz w:val="22"/>
                <w:szCs w:val="22"/>
              </w:rPr>
              <w:t>Powierzchnia działki w ha</w:t>
            </w:r>
          </w:p>
        </w:tc>
        <w:tc>
          <w:tcPr>
            <w:tcW w:w="4085"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snapToGrid w:val="false"/>
              <w:jc w:val="center"/>
              <w:rPr>
                <w:rFonts w:ascii="Arial" w:hAnsi="Arial" w:cs="Arial"/>
                <w:b/>
                <w:b/>
              </w:rPr>
            </w:pPr>
            <w:r>
              <w:rPr>
                <w:rFonts w:cs="Arial" w:ascii="Arial" w:hAnsi="Arial"/>
                <w:b/>
              </w:rPr>
            </w:r>
          </w:p>
          <w:p>
            <w:pPr>
              <w:pStyle w:val="Normal"/>
              <w:jc w:val="center"/>
              <w:rPr/>
            </w:pPr>
            <w:r>
              <w:rPr>
                <w:rFonts w:cs="Arial" w:ascii="Arial" w:hAnsi="Arial"/>
                <w:b/>
                <w:sz w:val="22"/>
                <w:szCs w:val="22"/>
              </w:rPr>
              <w:t>Opis nieruchomości</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Fonts w:cs="Arial" w:ascii="Arial" w:hAnsi="Arial"/>
                <w:b/>
                <w:sz w:val="22"/>
                <w:szCs w:val="22"/>
              </w:rPr>
              <w:t>Cena  nieruchomości</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ascii="Arial" w:hAnsi="Arial" w:cs="Arial"/>
                <w:b/>
                <w:b/>
                <w:sz w:val="22"/>
                <w:szCs w:val="22"/>
              </w:rPr>
            </w:pPr>
            <w:r>
              <w:rPr>
                <w:rFonts w:cs="Arial" w:ascii="Arial" w:hAnsi="Arial"/>
                <w:b/>
                <w:sz w:val="22"/>
                <w:szCs w:val="22"/>
              </w:rPr>
              <w:t>Uwagi</w:t>
            </w:r>
          </w:p>
        </w:tc>
      </w:tr>
      <w:tr>
        <w:trPr>
          <w:trHeight w:val="553" w:hRule="atLeast"/>
        </w:trPr>
        <w:tc>
          <w:tcPr>
            <w:tcW w:w="62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pPr>
            <w:r>
              <w:rPr>
                <w:rFonts w:cs="Arial" w:ascii="Arial" w:hAnsi="Arial"/>
                <w:sz w:val="22"/>
                <w:szCs w:val="22"/>
              </w:rPr>
              <w:t>1.</w:t>
            </w:r>
          </w:p>
        </w:tc>
        <w:tc>
          <w:tcPr>
            <w:tcW w:w="182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Standard"/>
              <w:spacing w:lineRule="auto" w:line="312"/>
              <w:jc w:val="both"/>
              <w:rPr>
                <w:rFonts w:ascii="Arial" w:hAnsi="Arial"/>
                <w:sz w:val="28"/>
                <w:szCs w:val="28"/>
              </w:rPr>
            </w:pPr>
            <w:r>
              <w:rPr>
                <w:rFonts w:ascii="Arial" w:hAnsi="Arial"/>
                <w:sz w:val="22"/>
                <w:szCs w:val="22"/>
              </w:rPr>
              <w:t xml:space="preserve">         </w:t>
            </w:r>
            <w:r>
              <w:rPr>
                <w:rFonts w:ascii="Arial" w:hAnsi="Arial"/>
                <w:sz w:val="22"/>
                <w:szCs w:val="22"/>
              </w:rPr>
              <w:t xml:space="preserve">1110/3       </w:t>
            </w:r>
          </w:p>
        </w:tc>
        <w:tc>
          <w:tcPr>
            <w:tcW w:w="1537"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Standard"/>
              <w:spacing w:lineRule="auto" w:line="312"/>
              <w:jc w:val="both"/>
              <w:rPr>
                <w:rFonts w:ascii="Arial" w:hAnsi="Arial"/>
                <w:sz w:val="28"/>
                <w:szCs w:val="28"/>
              </w:rPr>
            </w:pPr>
            <w:r>
              <w:rPr>
                <w:rFonts w:ascii="Arial" w:hAnsi="Arial"/>
                <w:sz w:val="22"/>
                <w:szCs w:val="22"/>
              </w:rPr>
              <w:t xml:space="preserve">       </w:t>
            </w:r>
            <w:r>
              <w:rPr>
                <w:rFonts w:ascii="Arial" w:hAnsi="Arial"/>
                <w:sz w:val="22"/>
                <w:szCs w:val="22"/>
              </w:rPr>
              <w:t xml:space="preserve">0,3800 </w:t>
            </w:r>
          </w:p>
        </w:tc>
        <w:tc>
          <w:tcPr>
            <w:tcW w:w="4085"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pPr>
            <w:r>
              <w:rPr>
                <w:rFonts w:cs="Arial" w:ascii="Arial" w:hAnsi="Arial"/>
                <w:sz w:val="22"/>
                <w:szCs w:val="22"/>
              </w:rPr>
              <w:t>Działka zabudowana jest garażem i mechaniczno-biologiczną oczyszczalnią ścieków o pow.  użytkowej 121,5 m</w:t>
            </w:r>
            <w:r>
              <w:rPr>
                <w:rFonts w:cs="Arial" w:ascii="Arial" w:hAnsi="Arial"/>
                <w:sz w:val="22"/>
                <w:szCs w:val="22"/>
                <w:vertAlign w:val="superscript"/>
              </w:rPr>
              <w:t>2</w:t>
            </w:r>
            <w:r>
              <w:rPr>
                <w:rFonts w:cs="Arial" w:ascii="Arial" w:hAnsi="Arial"/>
                <w:sz w:val="22"/>
                <w:szCs w:val="22"/>
              </w:rPr>
              <w:t>. Teren ogrodzony jest siatką na słupkach stalowych.</w:t>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Standard"/>
              <w:spacing w:lineRule="auto" w:line="312"/>
              <w:jc w:val="both"/>
              <w:rPr/>
            </w:pPr>
            <w:r>
              <w:rPr>
                <w:rFonts w:ascii="Arial" w:hAnsi="Arial"/>
                <w:sz w:val="22"/>
                <w:szCs w:val="22"/>
              </w:rPr>
              <w:t xml:space="preserve">   </w:t>
            </w:r>
          </w:p>
          <w:p>
            <w:pPr>
              <w:pStyle w:val="Standard"/>
              <w:spacing w:lineRule="auto" w:line="312"/>
              <w:jc w:val="both"/>
              <w:rPr/>
            </w:pPr>
            <w:r>
              <w:rPr>
                <w:rFonts w:ascii="Arial" w:hAnsi="Arial"/>
                <w:sz w:val="22"/>
                <w:szCs w:val="22"/>
              </w:rPr>
              <w:t xml:space="preserve">     </w:t>
            </w:r>
            <w:r>
              <w:rPr>
                <w:rFonts w:ascii="Arial" w:hAnsi="Arial"/>
                <w:sz w:val="22"/>
                <w:szCs w:val="22"/>
              </w:rPr>
              <w:t>7 380,00 zł</w:t>
            </w:r>
          </w:p>
        </w:tc>
        <w:tc>
          <w:tcPr>
            <w:tcW w:w="3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rFonts w:ascii="Arial" w:hAnsi="Arial" w:cs="Arial"/>
                <w:sz w:val="22"/>
                <w:szCs w:val="22"/>
              </w:rPr>
            </w:pPr>
            <w:r>
              <w:rPr>
                <w:rFonts w:cs="Arial" w:ascii="Arial" w:hAnsi="Arial"/>
                <w:sz w:val="22"/>
                <w:szCs w:val="22"/>
              </w:rPr>
              <w:t xml:space="preserve">Nieruchomość jest sprzedawana </w:t>
              <w:br/>
              <w:t xml:space="preserve">w trybie bezprzetargowym po obniżonej cenie Skarbowi Państwa na działalność statutową Lubelskiego Ośrodka Doradztwa Rolniczego, zgodnie z art. 14 </w:t>
              <w:br/>
              <w:t>ust. 1 ustawy o gospodarce nieruchomościami</w:t>
            </w:r>
          </w:p>
        </w:tc>
      </w:tr>
      <w:tr>
        <w:trPr>
          <w:trHeight w:val="553" w:hRule="atLeast"/>
        </w:trPr>
        <w:tc>
          <w:tcPr>
            <w:tcW w:w="62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t>2.</w:t>
            </w:r>
          </w:p>
        </w:tc>
        <w:tc>
          <w:tcPr>
            <w:tcW w:w="182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spacing w:lineRule="auto" w:line="312"/>
              <w:jc w:val="center"/>
              <w:rPr>
                <w:rFonts w:ascii="Arial" w:hAnsi="Arial" w:cs="Arial"/>
                <w:sz w:val="22"/>
                <w:szCs w:val="22"/>
              </w:rPr>
            </w:pPr>
            <w:r>
              <w:rPr>
                <w:rFonts w:cs="Arial" w:ascii="Arial" w:hAnsi="Arial"/>
                <w:sz w:val="22"/>
                <w:szCs w:val="22"/>
              </w:rPr>
              <w:t xml:space="preserve"> </w:t>
            </w:r>
            <w:r>
              <w:rPr>
                <w:rFonts w:cs="Arial" w:ascii="Arial" w:hAnsi="Arial"/>
                <w:sz w:val="22"/>
                <w:szCs w:val="22"/>
              </w:rPr>
              <w:t>1110/8</w:t>
            </w:r>
          </w:p>
        </w:tc>
        <w:tc>
          <w:tcPr>
            <w:tcW w:w="1537"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spacing w:lineRule="auto" w:line="312"/>
              <w:jc w:val="center"/>
              <w:rPr>
                <w:rFonts w:ascii="Arial" w:hAnsi="Arial" w:cs="Arial"/>
                <w:sz w:val="22"/>
                <w:szCs w:val="22"/>
              </w:rPr>
            </w:pPr>
            <w:r>
              <w:rPr>
                <w:rFonts w:cs="Arial" w:ascii="Arial" w:hAnsi="Arial"/>
                <w:sz w:val="22"/>
                <w:szCs w:val="22"/>
              </w:rPr>
              <w:t>0,6861</w:t>
            </w:r>
          </w:p>
        </w:tc>
        <w:tc>
          <w:tcPr>
            <w:tcW w:w="4085"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rFonts w:ascii="Arial" w:hAnsi="Arial"/>
                <w:sz w:val="22"/>
                <w:szCs w:val="22"/>
              </w:rPr>
            </w:pPr>
            <w:r>
              <w:rPr>
                <w:rFonts w:ascii="Arial" w:hAnsi="Arial"/>
                <w:sz w:val="22"/>
                <w:szCs w:val="22"/>
              </w:rPr>
              <w:t>Teren działki jest płaski, ogrodzony, siatką handlową na słupach stalowych. Dojazd do nieruchomości drogami gminnymi utwardzonymi asfaltem.</w:t>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Standard"/>
              <w:spacing w:lineRule="auto" w:line="312"/>
              <w:jc w:val="both"/>
              <w:rPr/>
            </w:pPr>
            <w:r>
              <w:rPr/>
            </w:r>
          </w:p>
        </w:tc>
        <w:tc>
          <w:tcPr>
            <w:tcW w:w="3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pPr>
            <w:r>
              <w:rPr/>
            </w:r>
          </w:p>
        </w:tc>
      </w:tr>
      <w:tr>
        <w:trPr>
          <w:trHeight w:val="553" w:hRule="atLeast"/>
        </w:trPr>
        <w:tc>
          <w:tcPr>
            <w:tcW w:w="626"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p>
            <w:pPr>
              <w:pStyle w:val="Normal"/>
              <w:jc w:val="center"/>
              <w:rPr/>
            </w:pPr>
            <w:r>
              <w:rPr>
                <w:rFonts w:ascii="Arial" w:hAnsi="Arial"/>
                <w:sz w:val="22"/>
                <w:szCs w:val="22"/>
              </w:rPr>
              <w:t>3.</w:t>
            </w:r>
          </w:p>
        </w:tc>
        <w:tc>
          <w:tcPr>
            <w:tcW w:w="1828"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p>
            <w:pPr>
              <w:pStyle w:val="Normal"/>
              <w:jc w:val="center"/>
              <w:rPr/>
            </w:pPr>
            <w:r>
              <w:rPr>
                <w:rFonts w:ascii="Arial" w:hAnsi="Arial"/>
                <w:sz w:val="22"/>
                <w:szCs w:val="22"/>
              </w:rPr>
              <w:t>1110/10</w:t>
            </w:r>
          </w:p>
        </w:tc>
        <w:tc>
          <w:tcPr>
            <w:tcW w:w="1537" w:type="dxa"/>
            <w:tcBorders>
              <w:top w:val="single" w:sz="4" w:space="0" w:color="00000A"/>
              <w:left w:val="single" w:sz="4" w:space="0" w:color="00000A"/>
              <w:bottom w:val="single" w:sz="4" w:space="0" w:color="00000A"/>
              <w:insideH w:val="single" w:sz="4" w:space="0" w:color="00000A"/>
            </w:tcBorders>
            <w:shd w:color="auto" w:fill="auto" w:val="clear"/>
            <w:tcMar>
              <w:left w:w="13" w:type="dxa"/>
            </w:tcMar>
            <w:vAlign w:val="center"/>
          </w:tcPr>
          <w:p>
            <w:pPr>
              <w:pStyle w:val="Normal"/>
              <w:jc w:val="center"/>
              <w:rPr>
                <w:rFonts w:ascii="Arial" w:hAnsi="Arial"/>
                <w:sz w:val="22"/>
                <w:szCs w:val="22"/>
              </w:rPr>
            </w:pPr>
            <w:r>
              <w:rPr>
                <w:rFonts w:ascii="Arial" w:hAnsi="Arial"/>
                <w:sz w:val="22"/>
                <w:szCs w:val="22"/>
              </w:rPr>
            </w:r>
          </w:p>
          <w:p>
            <w:pPr>
              <w:pStyle w:val="Normal"/>
              <w:jc w:val="center"/>
              <w:rPr/>
            </w:pPr>
            <w:r>
              <w:rPr>
                <w:rFonts w:ascii="Arial" w:hAnsi="Arial"/>
                <w:sz w:val="22"/>
                <w:szCs w:val="22"/>
              </w:rPr>
              <w:t>13,3200</w:t>
            </w:r>
          </w:p>
        </w:tc>
        <w:tc>
          <w:tcPr>
            <w:tcW w:w="4085" w:type="dxa"/>
            <w:tcBorders>
              <w:top w:val="single" w:sz="4" w:space="0" w:color="00000A"/>
              <w:left w:val="single" w:sz="6" w:space="0" w:color="00000A"/>
              <w:bottom w:val="single" w:sz="4" w:space="0" w:color="00000A"/>
              <w:insideH w:val="single" w:sz="4" w:space="0" w:color="00000A"/>
            </w:tcBorders>
            <w:shd w:color="auto" w:fill="auto" w:val="clear"/>
            <w:tcMar>
              <w:left w:w="-7" w:type="dxa"/>
            </w:tcMar>
            <w:vAlign w:val="center"/>
          </w:tcPr>
          <w:p>
            <w:pPr>
              <w:pStyle w:val="Normal"/>
              <w:jc w:val="both"/>
              <w:rPr/>
            </w:pPr>
            <w:r>
              <w:rPr>
                <w:rFonts w:ascii="Arial" w:hAnsi="Arial"/>
                <w:sz w:val="22"/>
                <w:szCs w:val="22"/>
              </w:rPr>
              <w:t>Działka wchodzi w skład zespołu pałacowo-parkowym, zabudowana jest Pałacem, spichlerzem murowanym, drewnianym domkiem Gospodarstwa Wiejskiego, dwoma magazynami murowanymi, pracownią pszczelarską, oraz wiatami wystawowymi. Nieruchomość jest zagospodarowana, porośnięta pielęgnowanymi trawnikami oraz drzewami. Podjazdy oraz ciągi piesze przy pawilonach utwardzone płytami betonowymi, oświetlenie na słupach energetycznych. Działka ogrodzona jest siatką handlową na słupach stalowych.</w:t>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r>
          </w:p>
        </w:tc>
        <w:tc>
          <w:tcPr>
            <w:tcW w:w="3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pPr>
            <w:r>
              <w:rPr/>
            </w:r>
          </w:p>
        </w:tc>
      </w:tr>
    </w:tbl>
    <w:p>
      <w:pPr>
        <w:pStyle w:val="Normal"/>
        <w:spacing w:lineRule="auto" w:line="360"/>
        <w:ind w:firstLine="708"/>
        <w:jc w:val="both"/>
        <w:rPr>
          <w:rFonts w:ascii="Arial" w:hAnsi="Arial" w:cs="Arial"/>
          <w:b/>
          <w:b/>
          <w:sz w:val="22"/>
          <w:szCs w:val="22"/>
        </w:rPr>
      </w:pPr>
      <w:r>
        <w:rPr>
          <w:rFonts w:cs="Arial" w:ascii="Arial" w:hAnsi="Arial"/>
          <w:b/>
          <w:sz w:val="22"/>
          <w:szCs w:val="22"/>
        </w:rPr>
      </w:r>
    </w:p>
    <w:p>
      <w:pPr>
        <w:pStyle w:val="Normal"/>
        <w:spacing w:lineRule="auto" w:line="360"/>
        <w:ind w:firstLine="708"/>
        <w:jc w:val="both"/>
        <w:rPr/>
      </w:pPr>
      <w:r>
        <w:rPr>
          <w:rFonts w:cs="Arial" w:ascii="Arial" w:hAnsi="Arial"/>
          <w:sz w:val="22"/>
          <w:szCs w:val="22"/>
        </w:rPr>
        <w:t>Zgodnie z przepisami art. 34 ust. 1 pkt 1 i pkt 2 ustawy z dnia 21 sierpnia 1997 o gospodarce nieruchomościami</w:t>
        <w:br/>
        <w:t>(Dz. U. z 2018 r. poz. 121, z późn. zm.), termin złożenia wniosku przez osoby, którym przysługuje pierwszeństwo w nabyciu nieruchomości, wynosi 6 tygodni licząc od dnia wywieszenia wykazu na tablicy ogłoszeń na V piętrze w budynku Urzędu Marszałkowskiego Województwa Lubelskiego w Lublinie, ul. Artura Grottgera 4.</w:t>
      </w:r>
    </w:p>
    <w:p>
      <w:pPr>
        <w:pStyle w:val="Normal"/>
        <w:spacing w:lineRule="auto" w:line="360"/>
        <w:jc w:val="both"/>
        <w:rPr/>
      </w:pPr>
      <w:r>
        <w:rPr>
          <w:rFonts w:cs="Arial" w:ascii="Arial" w:hAnsi="Arial"/>
          <w:b/>
          <w:sz w:val="22"/>
          <w:szCs w:val="22"/>
        </w:rPr>
        <w:t>Wnioski do Zarządu Województwa Lubelskiego należy składać na adres Urząd Marszałkowski Województwa Lubelskiego, Departament Mienia i Inwestycji, ul. Artura Grottgera 4, 20-029 Lublin, tel. 81 44 16 797, fax. 81 44 16 780.</w:t>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66f"/>
    <w:pPr>
      <w:widowControl/>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Gwka"/>
    <w:pPr>
      <w:outlineLvl w:val="0"/>
    </w:pPr>
    <w:rPr/>
  </w:style>
  <w:style w:type="paragraph" w:styleId="Nagwek2">
    <w:name w:val="Nagłówek 2"/>
    <w:basedOn w:val="Gwka"/>
    <w:pPr>
      <w:outlineLvl w:val="1"/>
    </w:pPr>
    <w:rPr/>
  </w:style>
  <w:style w:type="paragraph" w:styleId="Nagwek3">
    <w:name w:val="Nagłówek 3"/>
    <w:basedOn w:val="Gwka"/>
    <w:pPr>
      <w:outlineLvl w:val="2"/>
    </w:pPr>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c1a91"/>
    <w:rPr>
      <w:rFonts w:ascii="Tahoma" w:hAnsi="Tahoma" w:eastAsia="Times New Roman" w:cs="Tahoma"/>
      <w:sz w:val="16"/>
      <w:szCs w:val="16"/>
      <w:lang w:eastAsia="pl-PL"/>
    </w:rPr>
  </w:style>
  <w:style w:type="character" w:styleId="ListLabel1">
    <w:name w:val="ListLabel 1"/>
    <w:qFormat/>
    <w:rPr>
      <w:rFonts w:cs="Arial"/>
      <w:b/>
      <w:sz w:val="22"/>
    </w:rPr>
  </w:style>
  <w:style w:type="character" w:styleId="ListLabel2">
    <w:name w:val="ListLabel 2"/>
    <w:qFormat/>
    <w:rPr>
      <w:rFonts w:cs="Arial"/>
      <w:b/>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customStyle="1">
    <w:name w:val="Główka"/>
    <w:basedOn w:val="Normal"/>
    <w:qFormat/>
    <w:pPr>
      <w:keepNext/>
      <w:spacing w:before="240" w:after="120"/>
    </w:pPr>
    <w:rPr>
      <w:rFonts w:ascii="Liberation Sans" w:hAnsi="Liberation Sans" w:eastAsia="Microsoft YaHei" w:cs="Arial"/>
      <w:sz w:val="28"/>
      <w:szCs w:val="28"/>
    </w:rPr>
  </w:style>
  <w:style w:type="paragraph" w:styleId="Sygnatura" w:customStyle="1">
    <w:name w:val="Sygnatura"/>
    <w:basedOn w:val="Normal"/>
    <w:pPr>
      <w:suppressLineNumbers/>
      <w:spacing w:before="120" w:after="120"/>
    </w:pPr>
    <w:rPr>
      <w:rFonts w:cs="Arial"/>
      <w:i/>
      <w:iCs/>
    </w:rPr>
  </w:style>
  <w:style w:type="paragraph" w:styleId="BalloonText">
    <w:name w:val="Balloon Text"/>
    <w:basedOn w:val="Normal"/>
    <w:link w:val="TekstdymkaZnak"/>
    <w:uiPriority w:val="99"/>
    <w:semiHidden/>
    <w:unhideWhenUsed/>
    <w:qFormat/>
    <w:rsid w:val="00cc1a91"/>
    <w:pPr/>
    <w:rPr>
      <w:rFonts w:ascii="Tahoma" w:hAnsi="Tahoma" w:cs="Tahoma"/>
      <w:sz w:val="16"/>
      <w:szCs w:val="16"/>
    </w:rPr>
  </w:style>
  <w:style w:type="paragraph" w:styleId="Cytaty" w:customStyle="1">
    <w:name w:val="Cytaty"/>
    <w:basedOn w:val="Normal"/>
    <w:qFormat/>
    <w:pPr/>
    <w:rPr/>
  </w:style>
  <w:style w:type="paragraph" w:styleId="Tytu">
    <w:name w:val="Tytuł"/>
    <w:basedOn w:val="Gwka"/>
    <w:pPr/>
    <w:rPr/>
  </w:style>
  <w:style w:type="paragraph" w:styleId="Podtytu">
    <w:name w:val="Podtytuł"/>
    <w:basedOn w:val="Gwka"/>
    <w:pPr/>
    <w:rPr/>
  </w:style>
  <w:style w:type="paragraph" w:styleId="BodyText3">
    <w:name w:val="Body Text 3"/>
    <w:basedOn w:val="Normal"/>
    <w:qFormat/>
    <w:pPr>
      <w:spacing w:before="0" w:after="120"/>
    </w:pPr>
    <w:rPr>
      <w:sz w:val="16"/>
      <w:szCs w:val="16"/>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paragraph" w:styleId="Tekstpodstawowy31" w:customStyle="1">
    <w:name w:val="Tekst podstawowy 31"/>
    <w:basedOn w:val="Normal"/>
    <w:qFormat/>
    <w:pPr>
      <w:spacing w:before="0" w:after="120"/>
    </w:pPr>
    <w:rPr>
      <w:sz w:val="16"/>
      <w:szCs w:val="16"/>
    </w:rPr>
  </w:style>
  <w:style w:type="paragraph" w:styleId="Standard" w:customStyle="1">
    <w:name w:val="Standard"/>
    <w:qFormat/>
    <w:pPr>
      <w:widowControl w:val="false"/>
      <w:suppressAutoHyphens w:val="true"/>
      <w:bidi w:val="0"/>
      <w:spacing w:lineRule="auto" w:line="240"/>
      <w:jc w:val="left"/>
      <w:textAlignment w:val="baseline"/>
    </w:pPr>
    <w:rPr>
      <w:rFonts w:ascii="Liberation Serif" w:hAnsi="Liberation Serif" w:eastAsia="SimSun" w:cs="Arial"/>
      <w:color w:val="00000A"/>
      <w:sz w:val="24"/>
      <w:szCs w:val="24"/>
      <w:lang w:val="pl-PL" w:eastAsia="zh-CN" w:bidi="hi-IN"/>
    </w:rPr>
  </w:style>
  <w:style w:type="paragraph" w:styleId="ListParagraph">
    <w:name w:val="List Paragraph"/>
    <w:basedOn w:val="Normal"/>
    <w:uiPriority w:val="34"/>
    <w:qFormat/>
    <w:rsid w:val="00ee7309"/>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C053-05C9-4C32-BF30-7AA52624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OpenOfficePL_Professional/5.0.1.4$Windows_x86 LibreOffice_project/13f702ca819ea5b9f8605782c852d5bb513b3891</Application>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2018-04-09T06:35:00Z</dcterms:created>
  <dc:creator>Andrzej Pcion</dc:creator>
  <dc:language>pl-PL</dc:language>
  <cp:lastPrinted>2018-04-09T06:43:00Z</cp:lastPrinted>
  <dcterms:modified xsi:type="dcterms:W3CDTF">2018-04-19T12:21:35Z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